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5080" distB="5715" distL="5715" distR="4445" simplePos="0" locked="0" layoutInCell="1" allowOverlap="1" relativeHeight="69">
                <wp:simplePos x="0" y="0"/>
                <wp:positionH relativeFrom="column">
                  <wp:posOffset>1699260</wp:posOffset>
                </wp:positionH>
                <wp:positionV relativeFrom="paragraph">
                  <wp:posOffset>-433070</wp:posOffset>
                </wp:positionV>
                <wp:extent cx="2172335" cy="396875"/>
                <wp:effectExtent l="5715" t="5080" r="4445" b="5715"/>
                <wp:wrapNone/>
                <wp:docPr id="1" name="Pictur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2240" cy="396720"/>
                        </a:xfrm>
                        <a:custGeom>
                          <a:avLst/>
                          <a:gdLst>
                            <a:gd name="textAreaLeft" fmla="*/ 0 w 1231560"/>
                            <a:gd name="textAreaRight" fmla="*/ 1234800 w 1231560"/>
                            <a:gd name="textAreaTop" fmla="*/ 0 h 225000"/>
                            <a:gd name="textAreaBottom" fmla="*/ 228240 h 225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t xml:space="preserve"> </w:t>
      </w:r>
      <w:r>
        <w:rPr/>
        <w:tab/>
        <w:tab/>
        <w:tab/>
        <w:tab/>
        <w:tab/>
        <w:tab/>
        <w:tab/>
      </w:r>
      <w:bookmarkStart w:id="0" w:name="sub_1000"/>
      <w:r>
        <mc:AlternateContent>
          <mc:Choice Requires="wps">
            <w:drawing>
              <wp:anchor behindDoc="0" distT="12700" distB="12700" distL="13335" distR="12065" simplePos="0" locked="0" layoutInCell="1" allowOverlap="1" relativeHeight="71">
                <wp:simplePos x="0" y="0"/>
                <wp:positionH relativeFrom="column">
                  <wp:posOffset>3612515</wp:posOffset>
                </wp:positionH>
                <wp:positionV relativeFrom="page">
                  <wp:posOffset>415925</wp:posOffset>
                </wp:positionV>
                <wp:extent cx="1842135" cy="2231390"/>
                <wp:effectExtent l="13335" t="12700" r="12065" b="12700"/>
                <wp:wrapNone/>
                <wp:docPr id="2" name="Pictur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120" cy="2231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rFonts w:ascii="Calibri" w:hAnsi="Calibri" w:asciiTheme="minorAscii" w:hAnsiTheme="minorHAnsi"/>
                                <w:color w:themeColor="background1" w:val="FFFFFF"/>
                                <w:spacing w:val="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90000" rIns="90000" tIns="47160" bIns="471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Picture 3" path="m0,0l-2147483645,0l-2147483645,-2147483646l0,-2147483646xe" fillcolor="white" stroked="t" o:allowincell="f" style="position:absolute;margin-left:284.45pt;margin-top:32.75pt;width:145pt;height:175.65pt;mso-wrap-style:none;v-text-anchor:middle;mso-position-vertical-relative:page">
                <v:fill o:detectmouseclick="t" type="solid" color2="black"/>
                <v:stroke color="white" weight="25560" joinstyle="round" endcap="flat"/>
                <v:textbox>
                  <w:txbxContent>
                    <w:p>
                      <w:pPr>
                        <w:pStyle w:val="Normal"/>
                        <w:jc w:val="center"/>
                        <w:rPr>
                          <w:rFonts w:ascii="Calibri" w:hAnsi="Calibri" w:asciiTheme="minorAscii" w:hAnsiTheme="minorHAnsi"/>
                          <w:color w:themeColor="background1" w:val="FFFFFF"/>
                          <w:spacing w:val="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5080" distL="5715" distR="5080" simplePos="0" locked="0" layoutInCell="1" allowOverlap="1" relativeHeight="73">
                <wp:simplePos x="0" y="0"/>
                <wp:positionH relativeFrom="column">
                  <wp:posOffset>6116320</wp:posOffset>
                </wp:positionH>
                <wp:positionV relativeFrom="page">
                  <wp:posOffset>952500</wp:posOffset>
                </wp:positionV>
                <wp:extent cx="2853055" cy="2036445"/>
                <wp:effectExtent l="5715" t="5715" r="5080" b="5080"/>
                <wp:wrapNone/>
                <wp:docPr id="3" name="Pictur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000" cy="2036520"/>
                        </a:xfrm>
                        <a:custGeom>
                          <a:avLst/>
                          <a:gdLst>
                            <a:gd name="textAreaLeft" fmla="*/ 0 w 1617480"/>
                            <a:gd name="textAreaRight" fmla="*/ 1620720 w 1617480"/>
                            <a:gd name="textAreaTop" fmla="*/ 0 h 1154520"/>
                            <a:gd name="textAreaBottom" fmla="*/ 1157760 h 11545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Приложение</w:t>
                            </w:r>
                          </w:p>
                          <w:p>
                            <w:pPr>
                              <w:pStyle w:val="Normal"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r>
                          </w:p>
                          <w:p>
                            <w:pPr>
                              <w:pStyle w:val="Normal"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УТВЕРЖДЕНА</w:t>
                            </w:r>
                          </w:p>
                          <w:p>
                            <w:pPr>
                              <w:pStyle w:val="Normal"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>
                            <w:pPr>
                              <w:pStyle w:val="Normal"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муниципального образования Северский муниципальный район Краснодарского края</w:t>
                            </w:r>
                          </w:p>
                          <w:p>
                            <w:pPr>
                              <w:pStyle w:val="Normal"/>
                              <w:ind w:hanging="0" w:left="0" w:right="0"/>
                              <w:jc w:val="left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от _________ года № ________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ab/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</w:t>
      </w:r>
      <w:bookmarkEnd w:id="0"/>
      <w:r>
        <w:rPr>
          <w:rFonts w:ascii="Times New Roman" w:hAnsi="Times New Roman"/>
          <w:b/>
          <w:sz w:val="28"/>
        </w:rPr>
        <w:t xml:space="preserve">униципальная программа </w:t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«Информатизация  Северского района»</w:t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ПАСПОРТ</w:t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муниципальной программы «Информатизация С</w:t>
      </w:r>
      <w:bookmarkStart w:id="1" w:name="sub_100"/>
      <w:r>
        <w:rPr>
          <w:rFonts w:ascii="Times New Roman" w:hAnsi="Times New Roman"/>
          <w:b/>
          <w:sz w:val="28"/>
        </w:rPr>
        <w:t>еверского района»</w:t>
      </w:r>
      <w:bookmarkEnd w:id="1"/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tbl>
      <w:tblPr>
        <w:tblStyle w:val="Style_3"/>
        <w:tblW w:w="140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7"/>
        <w:gridCol w:w="8450"/>
      </w:tblGrid>
      <w:tr>
        <w:trPr/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Наименование муниципальной программы</w:t>
            </w:r>
          </w:p>
        </w:tc>
        <w:tc>
          <w:tcPr>
            <w:tcW w:w="845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Информатизация  Северского района (далее - Программа)</w:t>
            </w:r>
          </w:p>
        </w:tc>
      </w:tr>
      <w:tr>
        <w:trPr/>
        <w:tc>
          <w:tcPr>
            <w:tcW w:w="5587" w:type="dxa"/>
            <w:tcBorders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bookmarkStart w:id="2" w:name="sub_102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Координатор </w:t>
            </w:r>
            <w:bookmarkEnd w:id="2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муниципальной программы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управление информатизации и информационной безопасности администрации муниципального образования Северский муниципальный район Краснодарского края</w:t>
            </w:r>
          </w:p>
        </w:tc>
      </w:tr>
      <w:tr>
        <w:trPr/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Подпрограммы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</w:tc>
      </w:tr>
      <w:tr>
        <w:trPr/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Координаторы подпрограммы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</w:tc>
      </w:tr>
      <w:tr>
        <w:trPr/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Иные исполнители отдельных мероприятий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</w:tc>
      </w:tr>
      <w:tr>
        <w:trPr/>
        <w:tc>
          <w:tcPr>
            <w:tcW w:w="558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Цель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Организация эффективной деятельности администрации муниципального образования Северский муниципальный район Краснодарского края (далее - администрация)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</w:tc>
      </w:tr>
      <w:tr>
        <w:trPr/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Задачи муниципальной программы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поддержка и развитие официального Интернет-портала администрации;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– </w:t>
            </w: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информатизации.</w:t>
            </w:r>
          </w:p>
        </w:tc>
      </w:tr>
      <w:tr>
        <w:trPr/>
        <w:tc>
          <w:tcPr>
            <w:tcW w:w="558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Перечень целевых показателей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автоматизированных рабочих мест администрации, обеспеченных базовым комплектом лицензионных программных продуктов российского производства;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структурных подразделений администрации, обеспеченных доступом к информационным системам;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работников администрации, обеспеченных базовым комплектом работоспособной оргтехники и компьютерного оборудования;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замененной и отремонтированной компьютерной и оргтехники из общего количества нуждающейся в замене;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обеспеченность расходными материалами компьютерной и оргтехники структурных подразделений администрации;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структурных подразделений администрации, обеспеченных средствами связи и скоростным Интернетом;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обеспеченность структурных подразделений администрации электронным документооборотом;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охват мерами защиты информации информационно-технических ресурсов и коммуникаций администрации;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- доля аттестованных рабочих мест в соответствии с требованиями по технической защите информации, содержащей сведения, не составляющих государственную тайну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>
          <w:trHeight w:val="719" w:hRule="atLeast"/>
        </w:trPr>
        <w:tc>
          <w:tcPr>
            <w:tcW w:w="5587" w:type="dxa"/>
            <w:tcBorders>
              <w:left w:val="single" w:sz="2" w:space="0" w:color="000000"/>
              <w:bottom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Этапы и сроки реализации муниципальной программы</w:t>
            </w:r>
          </w:p>
        </w:tc>
        <w:tc>
          <w:tcPr>
            <w:tcW w:w="8450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2027- 2032 годы, этапы не предусмотрены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Объемы и источники финансирования муниципальной программы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8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общий объем финансирования Программы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shd w:fill="FFFFFF" w:val="clear"/>
              </w:rPr>
              <w:t>49635,3</w:t>
            </w:r>
            <w:r>
              <w:rPr>
                <w:rFonts w:ascii="Times New Roman" w:hAnsi="Times New Roman"/>
                <w:color w:val="FF4000"/>
                <w:spacing w:val="0"/>
                <w:kern w:val="0"/>
                <w:sz w:val="28"/>
                <w:szCs w:val="20"/>
                <w:shd w:fill="FFFFFF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shd w:fill="FFFFFF" w:val="clear"/>
              </w:rPr>
              <w:t>ты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с. рублей, из средств местного бюджета</w:t>
            </w:r>
          </w:p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из них: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2027 год – 1654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,1 тыс. рублей;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2028 год – 1654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,1 тыс. рублей;</w:t>
            </w:r>
          </w:p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shd w:fill="FFFFFF" w:val="clear"/>
              </w:rPr>
              <w:t>2029 год – 1654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shd w:fill="FFFFFF" w:val="clear"/>
              </w:rPr>
              <w:t>2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shd w:fill="FFFFFF" w:val="clear"/>
              </w:rPr>
              <w:t>,1 тыс. рублей;</w:t>
            </w:r>
          </w:p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2030 год – 0 тыс. рублей;</w:t>
            </w:r>
          </w:p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2031 год – 0 тыс. рублей;</w:t>
            </w:r>
          </w:p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2032 год – 0 тыс. рублей.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558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Контроль за выполнением муниципальной программы</w:t>
            </w:r>
          </w:p>
        </w:tc>
        <w:tc>
          <w:tcPr>
            <w:tcW w:w="84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23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контроль за выполнением Программы осуществляют администрация и Совет муниципального образования Северский муниципальный район Краснодарского края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/>
      </w:pPr>
      <w:bookmarkStart w:id="3" w:name="sub_1100"/>
      <w:bookmarkEnd w:id="3"/>
      <w:r>
        <w:rPr>
          <w:rFonts w:ascii="Times New Roman" w:hAnsi="Times New Roman"/>
          <w:b/>
          <w:sz w:val="28"/>
        </w:rPr>
        <w:t>1. Характеристика текущего состояния и основные проблемы в сфере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реализации Программы</w:t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Современные тенденции развития человечества приводят к постепенному переходу от индустриального общества к информационному, в котором научное знание и информация становятся определяющими факторами для развития социально-экономической, политической и культурной сфер жизни людей. Необходимым условием построения информационного общества является процесс информатизации, означающий широкомасштабное применение информационных технологий (далее - ИТ) для удовлетворения информационных и коммуникационных потребностей граждан, организаций, органов местного самоуправления.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информатизации администрации направлено на реализацию целей и задач, поставленных следующими нормативно-правовыми актами: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Стратегия развития информационного общества в Российской Федерации (утверждена Президентом Российской Федерации 07 февраля 2008 года № Пр-212);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Указ Президента Российской Федерации от 07 мая 2012 года № 601 «Об основных направлениях совершенствования системы государственного управления»</w:t>
      </w:r>
      <w:r>
        <w:rPr>
          <w:rFonts w:ascii="Times New Roman" w:hAnsi="Times New Roman"/>
          <w:color w:val="040404"/>
          <w:sz w:val="28"/>
        </w:rPr>
        <w:t xml:space="preserve">; </w:t>
      </w:r>
    </w:p>
    <w:p>
      <w:pPr>
        <w:pStyle w:val="Normal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- Указ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года"; 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- Постановление Правительства РФ от 15 апреля 2014 года № 313 «Об утверждении государственной программы Российской Федерации "Информационное общество»;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06 октября 2003 года № 131-ФЗ «Об общих принципах организации местного самоуправления»;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27 июля 2006 года № 149-ФЗ «Об информации, информационных технологиях и о защите информации»;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27 июля 2006 года № 152-ФЗ «О персональных данных»;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09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>
      <w:pPr>
        <w:pStyle w:val="Normal"/>
        <w:numPr>
          <w:ilvl w:val="0"/>
          <w:numId w:val="1"/>
        </w:numPr>
        <w:ind w:firstLine="567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Закон Краснодарского края от 21 декабря 218 года №3990-КЗ «Об утверждении стратегии экономического развития Краснодарского края до 2030 года</w:t>
      </w:r>
      <w:r>
        <w:rPr>
          <w:rFonts w:ascii="Times New Roman" w:hAnsi="Times New Roman"/>
          <w:sz w:val="28"/>
        </w:rPr>
        <w:t>».</w:t>
      </w:r>
    </w:p>
    <w:p>
      <w:pPr>
        <w:pStyle w:val="Normal"/>
        <w:rPr>
          <w:rFonts w:ascii="Times New Roman" w:hAnsi="Times New Roman"/>
          <w:color w:val="040404"/>
          <w:sz w:val="28"/>
          <w:highlight w:val="white"/>
        </w:rPr>
      </w:pPr>
      <w:r>
        <w:rPr>
          <w:rFonts w:ascii="Times New Roman" w:hAnsi="Times New Roman"/>
          <w:color w:val="040404"/>
          <w:sz w:val="28"/>
        </w:rPr>
        <w:t>Важным направлением повышения эффективности и результативности деятельности администрации является расширение практики использования современных ИТ, организации эффективной деятельности администрации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безопасности. Указанная цель может быть достигнута за счет эффективного использования ИТ, обеспечения 100% использования муниципальными служащими электронного документооборота (далее - ЭДО), поддержания высокого уровня использования всех возможностей ЭДО, сокращения сроков назначения поручений по служебной корреспонденции и доведения их до исполнителей, сокращения сроков согласования правовых актов администрации, повышения уровня бесперебойности в работе муниципальных информационных систем и ресурсов, автоматизированных рабочих мест администрации, что существенно ускорит процесс подготовки и принятия управленческих решений, повышения надежности доступа в сеть Интернет; повышения надежности работы систем и средств информационной безопасности.</w:t>
      </w:r>
    </w:p>
    <w:p>
      <w:pPr>
        <w:pStyle w:val="Normal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  <w:highlight w:val="white"/>
        </w:rPr>
        <w:t>За последние два года 2024-2025 годы в связи с увеличением нагрузки в виде увеличения пользователей сети, количества информационных систем, информационных потоков, появилась потребность в модернизации облачных ресурсов внутри информационного пространства администрации, необходимость создания дополнительных хранилищ для создания резервных копий самих серверов и архивов информации, которые необходимы для восстановления информации при возникновении критических ситуаций. Имеющееся оборудование систем обработки данных и хранения данных, систем обеспечения резервного, включая аварийного питания, не является достаточным для осуществления качественного обслуживания серверного оборудования и сетевой инфраструктуры. При этом, запланированные на год бюджетные средства муниципальной программы не обеспечивают в полном объеме потребность для решения глобальных первостепенных задач.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Кроме того, на муниципальном уровне часто приходится сталкиваться с проблемами фрагментации данных, несовместимостью технических решений и отсутствием единых стандартов информационного обмена. Особую сложность представляет обеспечение технологической связанности сельских поселений и отдалённых территорий, где ограничены возможности доступа к высокоскоростному Интернету и современным цифровым сервисам. Внедрение систем электронного документооборота частично решает эти проблемы, автоматизируя процессы обработки данных и обеспечивая надёжность хранения информации, однако их адаптация к местной специфике требует существенных доработок.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проблемы – это разнородность информационных систем и разрозненность информационных ресурсов, отсутствие единого информационного пространства и механизмов обеспечения взаимодействия, недостаток технического персонала по обслуживанию компьютерной техники и локально-вычислительных сетей.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Необходимо отметить ряд проблем, касающихся развития информационно-коммуникационной среды, влияющих на ее дальнейшее успешное развитие: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интенсивное развитие информационно-коммуникационных технологий, их внедрение требует новых подходов к обеспечению информационной безопасности;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интенсивное развитие и внедрение новых информационных систем требует установки более производительных серверов.</w:t>
      </w:r>
    </w:p>
    <w:p>
      <w:pPr>
        <w:pStyle w:val="Normal"/>
        <w:ind w:firstLine="851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Одной из важных задач информатизации является обеспечение требуемого уровня информированности населения. Этот уровень определяется полнотой, точностью, достоверностью и своевременностью предоставления информации, необходимой каждому человеку в процессе выполнения им всех общественно значимых видов деятельности.</w:t>
      </w:r>
    </w:p>
    <w:p>
      <w:pPr>
        <w:pStyle w:val="Normal"/>
        <w:ind w:firstLine="851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 xml:space="preserve">Важнейшим итогом информационного партнерства администрации и средств массовой информации является значительное увеличение информационного поля, с помощью которого жители Северского района получают объективную картину о деятельности органов местного самоуправления Северского района. Значимым информационным полем получения официальной достоверной и актуальной информации о мероприятиях, проводимых на территории Северского района является официальный сайт администрации. Выросло число пользователей, ежедневно посещающих </w:t>
      </w:r>
      <w:hyperlink r:id="rId2">
        <w:r>
          <w:rPr>
            <w:rStyle w:val="Style4"/>
            <w:rFonts w:ascii="Times New Roman" w:hAnsi="Times New Roman"/>
            <w:color w:val="000000"/>
            <w:sz w:val="28"/>
            <w:u w:val="none"/>
          </w:rPr>
          <w:t>официальный сайт</w:t>
        </w:r>
      </w:hyperlink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администрации. Возросло количество официальных документов, размещенных на официальном сайте администрации, нормативных правовых актов органов местного самоуправления, полезной информации для малого и среднего предпринимательства, новостей и другой достоверной информации для жителей Северского муниципального района Краснодарского края. Таким образом, увеличение количества посещаемости страниц официального сайта свидетельствует о повышении доверия жителей к размещаемой на официальном сайте информации.</w:t>
      </w:r>
    </w:p>
    <w:p>
      <w:pPr>
        <w:pStyle w:val="Normal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Вместе с тем, принимаемые в администрации меры, в том числе меры по адаптации информационной инфраструктуры в соответствии с национальными целями и задачами, утвержденными Указом Президента Российской Федерации </w:t>
      </w:r>
      <w:hyperlink r:id="rId3">
        <w:r>
          <w:rPr>
            <w:rStyle w:val="Style4"/>
            <w:rFonts w:ascii="Times New Roman" w:hAnsi="Times New Roman"/>
            <w:color w:val="040404"/>
            <w:sz w:val="28"/>
            <w:u w:val="none"/>
          </w:rPr>
          <w:t>от 7 мая 2024 года № 309 «О национальных целях развития Российской Федерации на период до 2030 года и на перспективу до 2036 года</w:t>
        </w:r>
      </w:hyperlink>
      <w:r>
        <w:rPr>
          <w:rFonts w:ascii="Times New Roman" w:hAnsi="Times New Roman"/>
          <w:b w:val="false"/>
          <w:color w:val="040404"/>
          <w:sz w:val="28"/>
        </w:rPr>
        <w:t>», постановлением Правительства Российской Федерации от 15 апреля 2014 года № 313 «Об утверждении государственной программы Российской Федерации «Информационное общество» в актуальной редакции от 19 декабря 2025 года</w:t>
      </w:r>
      <w:r>
        <w:rPr>
          <w:rFonts w:ascii="Times New Roman" w:hAnsi="Times New Roman"/>
          <w:color w:val="040404"/>
          <w:sz w:val="28"/>
        </w:rPr>
        <w:t xml:space="preserve"> и стратегией экономического развития Краснодарского края до 2030 года, утвержденной </w:t>
      </w:r>
      <w:hyperlink r:id="rId4">
        <w:r>
          <w:rPr>
            <w:rStyle w:val="Style4"/>
            <w:rFonts w:ascii="Times New Roman" w:hAnsi="Times New Roman"/>
            <w:color w:val="040404"/>
            <w:sz w:val="28"/>
            <w:u w:val="none"/>
          </w:rPr>
          <w:t>Законом Краснодарского края от 21 декабря 2018 года № 3930-КЗ,</w:t>
        </w:r>
      </w:hyperlink>
      <w:r>
        <w:rPr>
          <w:rFonts w:ascii="Times New Roman" w:hAnsi="Times New Roman"/>
          <w:color w:val="040404"/>
          <w:sz w:val="28"/>
        </w:rPr>
        <w:t xml:space="preserve"> позволяют говорить об уже достигнутых результатах, </w:t>
      </w:r>
      <w:r>
        <w:rPr>
          <w:rFonts w:ascii="Times New Roman" w:hAnsi="Times New Roman"/>
          <w:color w:val="040404"/>
          <w:sz w:val="28"/>
          <w:highlight w:val="white"/>
        </w:rPr>
        <w:t xml:space="preserve">накопленном ранее запасе прочности, позволяющем превратить негативные факторы в точки роста. </w:t>
      </w:r>
    </w:p>
    <w:p>
      <w:pPr>
        <w:pStyle w:val="Normal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Многие проблемные вопросы удалось решить при помощи выполнения мероприятий предыдущей муниципальной программы «Информатизация Северского района на 2020-2028 годы» (далее — муниципальная программа). </w:t>
      </w:r>
      <w:r>
        <w:rPr>
          <w:rFonts w:ascii="Times New Roman" w:hAnsi="Times New Roman"/>
          <w:color w:val="040404"/>
          <w:sz w:val="28"/>
          <w:highlight w:val="white"/>
        </w:rPr>
        <w:t xml:space="preserve">В администрации в 2024 году построена собственная оптическая сеть, объединяющая несколько зданий администрации в единое информационное пространство, развернуты базовые сетевые сервисы и приложения, обеспечен защищенный доступ к государственным и муниципальным информационным системам. </w:t>
      </w:r>
      <w:r>
        <w:rPr>
          <w:rFonts w:ascii="Times New Roman" w:hAnsi="Times New Roman"/>
          <w:color w:val="040404"/>
          <w:sz w:val="28"/>
        </w:rPr>
        <w:t>С помощью муниципальной программы проведено обновление компьютерного оборудования, заменено не менее 40% неисправной оргтехники (многофункциональная техника и принтеры) на рабочих местах, проводилось техническое обслуживание оргтехники и обеспечение ее расходными материалами, закуплены физические серверы, на которых уже развернуты системы виртуализации, в необходимом объеме приобретено необходимое количество лицензионного программного обеспечения национального производителя, системы защиты сетевой инфраструктуры администрации. В полном объеме обеспечивается аппаратный и программный контроль от несанкционированного доступа и контроль за уязвимостями. Проведена аттестация информационной системы администрации, содержащей в своем составе большой перечень разнородных государственных, региональных и муниципальных информационных систем, на соответствие установленной системы защиты информации требованиям защиты информации, предъявляемой к информационным системам администрации законодательством. На ежегодной основе решаются вопросы выполнения требований по стандартизации шаблонов официального Интернет-портала, выполняются требования к импортозамещению программного обеспечения, в том числе, используемого сайтом, требования к безопасности, на сайте внедрены и действуют в полном объеме такие государственные информационные системы, как «Подсистема обратной связи», разработанная Правительством Российской Федерации, баннер которой внедрен также и на сайтах городских и сельских поселений и система электронного документооборота «Виртуальная приемная граждан» с</w:t>
      </w:r>
      <w:hyperlink r:id="rId5">
        <w:r>
          <w:rPr>
            <w:rStyle w:val="Style4"/>
            <w:rFonts w:ascii="Times New Roman" w:hAnsi="Times New Roman"/>
            <w:color w:val="040404"/>
            <w:sz w:val="28"/>
            <w:u w:val="none"/>
          </w:rPr>
          <w:t xml:space="preserve"> использованием формы "Виртуальная приемная"</w:t>
        </w:r>
      </w:hyperlink>
      <w:r>
        <w:rPr>
          <w:rFonts w:ascii="Times New Roman" w:hAnsi="Times New Roman"/>
          <w:color w:val="040404"/>
          <w:sz w:val="28"/>
        </w:rPr>
        <w:t xml:space="preserve"> официального сайта после авторизации через ЕСИА (Госуслуги). Приобретены и используются в работе современные звуковые системы конференцсвязи (переносная и стационарные). Внедрены новые программные комплексы по обработке объемов графической информации, кадрового обеспечения, правовая система, система обработки обращений граждан. Обновлено также оборудование видеоконференцсвязи, позволяющее проводить видеоселекторные совещания с администрацией Краснодарского края в защищенном формате.</w:t>
      </w:r>
    </w:p>
    <w:p>
      <w:pPr>
        <w:pStyle w:val="BodyText"/>
        <w:spacing w:before="0" w:after="6"/>
        <w:ind w:firstLine="680" w:left="0" w:right="0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A0A0A"/>
          <w:sz w:val="28"/>
        </w:rPr>
        <w:t>Одним из наиболее острых ограничений успешной информатизации администрации выступает кадровый дефицит и недостаточная «цифровая» компетентность сотрудников администрации и сотрудников местных администраций поселений. Исследования в этой сфере позволяют выделить системные проблемы: недостаточное количество программ повышения квалификации, использование устаревших знаний и технологий в сфере ИТ и коммуникаций. Цифровая трансформация требует от муниципальных служащих принципиально новых компетенций, включающих навыки онлайн-коммуникации, модерации цифровых площадок, создания доступного контента и взаимодействия с локальными интернет-сообществами, владения навыками работы с информационными системами. Решение этой проблемы требует пересмотра подходов к подготовке рабочих кадров.</w:t>
      </w:r>
    </w:p>
    <w:p>
      <w:pPr>
        <w:pStyle w:val="BodyText"/>
        <w:spacing w:before="0" w:after="6"/>
        <w:ind w:firstLine="68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A0A0A"/>
          <w:sz w:val="28"/>
        </w:rPr>
        <w:t>Для решения поставленных Программой задач планируется п</w:t>
      </w:r>
      <w:r>
        <w:rPr>
          <w:rFonts w:ascii="Times New Roman" w:hAnsi="Times New Roman"/>
          <w:color w:val="040404"/>
          <w:sz w:val="28"/>
        </w:rPr>
        <w:t>родолжить работу по дальнейшему динамичному развитию инфраструктуры связи администрации, поддержке импортозамещения, развитию сфер искусственного интеллекта, цифрового государственного управления, а также по организации повышения квалификации кадрового состава работников администрации поселений в части повышения квалификации в области информационных технологий.</w:t>
      </w:r>
    </w:p>
    <w:p>
      <w:pPr>
        <w:pStyle w:val="Normal"/>
        <w:ind w:firstLine="680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>Учитывая большой срок службы имеющейся вычислительной техники и телекоммуникаций, необходима их модернизация, замена технически устаревшего оборудования, установка систем, повышающих безопасность, производительность и устойчивость к техническим сбоям. Необходима и дальнейшая работа по модернизации автоматизированных рабочих мест (далее — АРМ) работников структурных подразделений администрации, установке на АРМ имеющегося лицензионного системного программного обеспечения отечественного производителя, прикладного общего и специального программного обеспечения.</w:t>
      </w:r>
    </w:p>
    <w:p>
      <w:pPr>
        <w:pStyle w:val="BodyText"/>
        <w:spacing w:before="0" w:after="6"/>
        <w:ind w:firstLine="680" w:left="0" w:right="0"/>
        <w:rPr>
          <w:color w:val="040404"/>
          <w:shd w:fill="FFCC00" w:val="clear"/>
        </w:rPr>
      </w:pPr>
      <w:bookmarkStart w:id="4" w:name="P001A_1"/>
      <w:bookmarkEnd w:id="4"/>
      <w:r>
        <w:rPr>
          <w:rFonts w:ascii="Times New Roman" w:hAnsi="Times New Roman"/>
          <w:color w:val="040404"/>
          <w:sz w:val="28"/>
        </w:rPr>
        <w:t>Развитие использования информационных технологий в деятельности администрации влечет за собой необходимость надежного решения вопросов информационной безопасности, соблюдения законодательства в сфере организации обработки персональных данных.</w:t>
      </w:r>
    </w:p>
    <w:p>
      <w:pPr>
        <w:pStyle w:val="Normal"/>
        <w:spacing w:before="0" w:after="6"/>
        <w:ind w:firstLine="680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Для парирования угроз информационной безопасности необходимо в рамках Программы продолжить использование и обеспечить массовое применение отечественных средств защиты информации, включая сертифицированные Федеральной службой безопасности Российской Федерации средства криптографической защиты информации, а также использование сервисов (работ, услуг) по обеспечению информационной безопасности, предоставляемых (выполняемых, оказываемых) российскими организациями. Атаки нового поколения уже выполняются злоумышленниками с применением технологий искусственного интеллекта, которые постоянно совершенствуются, в том числе в части быстрого поиска уязвимостей в отечественных цифровых платформах.</w:t>
      </w:r>
    </w:p>
    <w:p>
      <w:pPr>
        <w:pStyle w:val="Normal"/>
        <w:spacing w:before="0" w:after="6"/>
        <w:ind w:firstLine="680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Устойчивость критической информационной инфраструктуры во многом определяется ее защищенностью от DDoS-атак, количество и мощность которых растут с каждым годом. Продолжится работа по поддержанию эффективной системы защиты прав и законных интересов личности, бизнеса и государства от угроз информационной безопасности, поддержанию системы эффективного противодействия преступлениям, совершаемым с использованием информационно-телекоммуникационных технологий, снижению ущерба от их совершения, а также обеспечению сетевого суверенитета и информационной безопасности в сети "Интернет".</w:t>
      </w:r>
    </w:p>
    <w:p>
      <w:pPr>
        <w:pStyle w:val="BodyText"/>
        <w:spacing w:before="0" w:after="6"/>
        <w:ind w:firstLine="680" w:left="0" w:right="0"/>
        <w:rPr>
          <w:color w:val="040404"/>
          <w:shd w:fill="FFCC00" w:val="clear"/>
        </w:rPr>
      </w:pPr>
      <w:r>
        <w:rPr>
          <w:rFonts w:ascii="Times New Roman" w:hAnsi="Times New Roman"/>
          <w:color w:val="040404"/>
          <w:sz w:val="28"/>
        </w:rPr>
        <w:t xml:space="preserve"> </w:t>
      </w:r>
      <w:bookmarkStart w:id="5" w:name="P001E_1"/>
      <w:bookmarkEnd w:id="5"/>
      <w:r>
        <w:rPr>
          <w:rFonts w:ascii="Times New Roman" w:hAnsi="Times New Roman"/>
          <w:color w:val="040404"/>
          <w:sz w:val="28"/>
        </w:rPr>
        <w:t>Для достижения требуемого уровня защиты персональных данных и открытых информационных систем общего пользования (официальный сайт) в соответствии с законодательством администрацией в рамках разрабатываемой Программы будут и дальше контролироваться вопросы применения комплекса мер, направленных на предотвращение несанкционированного доступа и утечки конфиденциальной информации, обеспечения защиты каналов передачи данных, серверных помещений и обеспечения отказоустойчивости информационных систем персональных данных.</w:t>
      </w:r>
    </w:p>
    <w:p>
      <w:pPr>
        <w:pStyle w:val="BodyText"/>
        <w:spacing w:before="0" w:after="6"/>
        <w:ind w:firstLine="680" w:left="0" w:right="0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В рамках Программы будут также продолжены работы по  </w:t>
      </w:r>
      <w:r>
        <w:rPr>
          <w:rFonts w:ascii="Times New Roman" w:hAnsi="Times New Roman"/>
          <w:sz w:val="28"/>
        </w:rPr>
        <w:t xml:space="preserve">настройке доменной инфраструктуры с учетом программного обеспечения национального производителя, включая планирование ресурсов домена, разработку новых правил именования домена и объектов, настройку DNS зон, планирование и настройку отказоустойчивости инфраструктуры, настройку типовых политик безопасности на новом контроллере домена, работы по настройке правил сегментирования сетевой инфраструктуры в соответствие с обновленными регламентами, межсетевого экранирования, настройке тегирования трафика на сетевых коммутаторах для корректного функционирования информационных систем и IP-телефонии, настройке фильтрации между сегментами новой сетевой инфраструктуры и другие мероприятия по </w:t>
      </w:r>
      <w:r>
        <w:rPr>
          <w:rFonts w:ascii="Times New Roman" w:hAnsi="Times New Roman"/>
          <w:color w:val="040404"/>
          <w:sz w:val="28"/>
        </w:rPr>
        <w:t>модернизации информационно-телекоммуникационной инфраструктуры.</w:t>
      </w:r>
    </w:p>
    <w:p>
      <w:pPr>
        <w:pStyle w:val="BodyText"/>
        <w:spacing w:before="0" w:after="6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A0A0A"/>
          <w:sz w:val="28"/>
        </w:rPr>
        <w:t>Успешная информатизация муниципального уровня способна стать катализатором достижения национальных целей развития на уровне администрации, обеспечив «цифровую зрелость» социальной сферы и повышение качества жизни через доступность и персонализацию публичных услуг, создание новых возможностей для диалога с населением.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Внедрение в работе администрации новых информационных технологий приведет к качественному изменению процессов управления. Это позволит, в частности, быстрее и объективнее реагировать на проблемы граждан, достаточно компетентно и обоснованно выступать с новыми инициативами, лучше координировать и контролировать деятельность подотчетных органов, создать условия для независимой экспертизы, более оперативно анализировать, обобщать и учитывать общественные настроения, оперативнее действовать в чрезвычайных ситуациях, использовать в своей работе прогностические модели.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Программы должна обеспечить дальнейшее развитие информационной и телекоммуникационной инфраструктуры, сформировать условия для подключения к новым информационным системам федеральных и региональных органов власти, их стабильную работоспособность, обеспечить эффективное взаимодействие органов муниципальной власти с гражданами и хозяйствующими субъектами муниципального образования Северский муниципальный район Краснодарского края.</w:t>
      </w:r>
    </w:p>
    <w:p>
      <w:pPr>
        <w:pStyle w:val="Normal"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bookmarkStart w:id="6" w:name="sub_1100_Копия_1"/>
      <w:bookmarkEnd w:id="6"/>
      <w:r>
        <w:rPr>
          <w:rFonts w:ascii="Times New Roman" w:hAnsi="Times New Roman"/>
          <w:b/>
          <w:sz w:val="28"/>
        </w:rPr>
        <w:t>2. Цели, задачи и целевые показатели, сроки и этапы реализации Программы</w:t>
      </w:r>
    </w:p>
    <w:tbl>
      <w:tblPr>
        <w:tblStyle w:val="Style_3"/>
        <w:tblW w:w="1428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7"/>
        <w:gridCol w:w="6462"/>
        <w:gridCol w:w="1093"/>
        <w:gridCol w:w="1000"/>
        <w:gridCol w:w="933"/>
        <w:gridCol w:w="863"/>
        <w:gridCol w:w="859"/>
        <w:gridCol w:w="853"/>
        <w:gridCol w:w="840"/>
        <w:gridCol w:w="866"/>
      </w:tblGrid>
      <w:tr>
        <w:trPr/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№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п/п</w:t>
            </w:r>
          </w:p>
        </w:tc>
        <w:tc>
          <w:tcPr>
            <w:tcW w:w="6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Наименование целевого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uppressAutoHyphens w:val="true"/>
              <w:spacing w:lineRule="auto" w:line="240" w:before="0" w:after="12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Едини-цы измере-ния по (ОКЕИ)</w:t>
            </w:r>
          </w:p>
        </w:tc>
        <w:tc>
          <w:tcPr>
            <w:tcW w:w="6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Значение показателя</w:t>
            </w:r>
          </w:p>
        </w:tc>
      </w:tr>
      <w:tr>
        <w:trPr/>
        <w:tc>
          <w:tcPr>
            <w:tcW w:w="5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64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-57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Отчет-ный год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0"/>
                <w:szCs w:val="20"/>
                <w:lang w:val="ru-RU" w:eastAsia="zh-CN" w:bidi="hi-IN"/>
              </w:rPr>
              <w:t>(2025)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4"/>
                <w:szCs w:val="20"/>
                <w:vertAlign w:val="superscript"/>
                <w:lang w:val="ru-RU" w:eastAsia="zh-CN" w:bidi="hi-IN"/>
              </w:rPr>
              <w:t>(1)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2027 год</w:t>
            </w:r>
          </w:p>
          <w:p>
            <w:pPr>
              <w:pStyle w:val="125"/>
              <w:widowControl/>
              <w:tabs>
                <w:tab w:val="clear" w:pos="708"/>
                <w:tab w:val="left" w:pos="1479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реализации</w:t>
            </w:r>
          </w:p>
        </w:tc>
        <w:tc>
          <w:tcPr>
            <w:tcW w:w="8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2028 год реализации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2029 год реализации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2030 год реализации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2031 год реализации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2032 год реализации</w:t>
            </w:r>
          </w:p>
        </w:tc>
      </w:tr>
      <w:tr>
        <w:trPr>
          <w:trHeight w:val="476" w:hRule="atLeast"/>
        </w:trPr>
        <w:tc>
          <w:tcPr>
            <w:tcW w:w="517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6462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</w:tc>
        <w:tc>
          <w:tcPr>
            <w:tcW w:w="86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7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8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</w:t>
            </w:r>
          </w:p>
        </w:tc>
      </w:tr>
      <w:tr>
        <w:trPr>
          <w:trHeight w:val="441" w:hRule="atLeast"/>
        </w:trPr>
        <w:tc>
          <w:tcPr>
            <w:tcW w:w="142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Муниципальная программа «Информатизация Северского  района»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Цель: Организация эффективной деятельности администрации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>
          <w:trHeight w:val="545" w:hRule="atLeast"/>
        </w:trPr>
        <w:tc>
          <w:tcPr>
            <w:tcW w:w="5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40404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6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10</w:t>
            </w:r>
          </w:p>
        </w:tc>
      </w:tr>
      <w:tr>
        <w:trPr>
          <w:trHeight w:val="2904" w:hRule="atLeast"/>
        </w:trPr>
        <w:tc>
          <w:tcPr>
            <w:tcW w:w="14286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Задачи: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40404"/>
                <w:spacing w:val="0"/>
                <w:kern w:val="0"/>
                <w:sz w:val="28"/>
                <w:szCs w:val="20"/>
                <w:lang w:val="ru-RU" w:eastAsia="zh-CN" w:bidi="hi-IN"/>
              </w:rPr>
              <w:t>- поддержка и развитие официального Интернет-портала администрации;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6462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автоматизированных рабочих мест администрации, обеспеченных базовым комплектом лицензионных программных продуктов российского производства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0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</w:t>
            </w:r>
          </w:p>
        </w:tc>
        <w:tc>
          <w:tcPr>
            <w:tcW w:w="6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структурных подразделений администрации, обеспеченных доступом к информационным системам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</w:tc>
        <w:tc>
          <w:tcPr>
            <w:tcW w:w="6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работников администрации, обеспеченных базовым комплектом работоспособной оргтехники и компьютерного оборудования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95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97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97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</w:tc>
        <w:tc>
          <w:tcPr>
            <w:tcW w:w="64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замененной и отремонтированной компьютерной и оргтехники из общего количества, нуждающейся в замене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 от общего числа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менее 3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Не менее 3</w:t>
            </w:r>
          </w:p>
        </w:tc>
        <w:tc>
          <w:tcPr>
            <w:tcW w:w="8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Не менее3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Не менее3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Не менее3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Не менее3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Не менее3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</w:tc>
        <w:tc>
          <w:tcPr>
            <w:tcW w:w="6462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расходными материалами компьютерной и оргтехники структурных подразделений администрации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0"/>
                <w:szCs w:val="20"/>
                <w:lang w:val="ru-RU" w:eastAsia="zh-CN" w:bidi="hi-IN"/>
              </w:rPr>
              <w:t>100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6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</w:tc>
        <w:tc>
          <w:tcPr>
            <w:tcW w:w="6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структурных подразделений администрации, обеспеченных средствами связи и скоростным Интернетом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7</w:t>
            </w:r>
          </w:p>
        </w:tc>
        <w:tc>
          <w:tcPr>
            <w:tcW w:w="6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структурных подразделений администрации электронным документооборотом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</w:tr>
      <w:tr>
        <w:trPr/>
        <w:tc>
          <w:tcPr>
            <w:tcW w:w="14286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Задачи: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40404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– </w:t>
            </w:r>
            <w:r>
              <w:rPr>
                <w:rFonts w:eastAsia="Noto Serif CJK SC" w:cs="FreeSans" w:ascii="Times New Roman" w:hAnsi="Times New Roman"/>
                <w:color w:val="040404"/>
                <w:spacing w:val="0"/>
                <w:kern w:val="0"/>
                <w:sz w:val="28"/>
                <w:szCs w:val="20"/>
                <w:lang w:val="ru-RU" w:eastAsia="zh-CN" w:bidi="hi-IN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6462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охват мерами защиты информации информационно-технических ресурсов и коммуникаций администрации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</w:tr>
      <w:tr>
        <w:trPr/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</w:t>
            </w:r>
          </w:p>
        </w:tc>
        <w:tc>
          <w:tcPr>
            <w:tcW w:w="6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аттестованных рабочих мест в соответствии с требованиями по технической защите информации, содержащей сведения, не составляющих государственную тайну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%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bookmarkStart w:id="7" w:name="sub_1200"/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100</w:t>
            </w:r>
            <w:bookmarkEnd w:id="7"/>
          </w:p>
        </w:tc>
      </w:tr>
    </w:tbl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ОКЕИ- общероссийский классификатор единиц измерения;</w:t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(1)- год, предшествующий году утверждения Программы.</w:t>
      </w:r>
    </w:p>
    <w:p>
      <w:pPr>
        <w:pStyle w:val="Normal"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ind w:hanging="0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ind w:hanging="0" w:left="0" w:right="0"/>
        <w:jc w:val="center"/>
        <w:rPr>
          <w:rFonts w:ascii="Times New Roman" w:hAnsi="Times New Roman"/>
          <w:b/>
          <w:sz w:val="28"/>
        </w:rPr>
      </w:pPr>
      <w:bookmarkStart w:id="8" w:name="sub_1500"/>
      <w:bookmarkEnd w:id="8"/>
      <w:r>
        <mc:AlternateContent>
          <mc:Choice Requires="wps">
            <w:drawing>
              <wp:anchor behindDoc="0" distT="1905" distB="1905" distL="1905" distR="1905" simplePos="0" locked="0" layoutInCell="1" allowOverlap="1" relativeHeight="79">
                <wp:simplePos x="0" y="0"/>
                <wp:positionH relativeFrom="column">
                  <wp:posOffset>-21590</wp:posOffset>
                </wp:positionH>
                <wp:positionV relativeFrom="paragraph">
                  <wp:posOffset>46656625</wp:posOffset>
                </wp:positionV>
                <wp:extent cx="9083675" cy="26035"/>
                <wp:effectExtent l="1905" t="1905" r="1905" b="1905"/>
                <wp:wrapNone/>
                <wp:docPr id="4" name="Pictur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3520" cy="2592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.7pt,3673.75pt" to="713.5pt,3675.75pt" ID="Picture 10" stroked="t" o:allowincell="f" style="position:absolute">
                <v:stroke color="black" weight="324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1" allowOverlap="1" relativeHeight="94">
                <wp:simplePos x="0" y="0"/>
                <wp:positionH relativeFrom="column">
                  <wp:posOffset>6308090</wp:posOffset>
                </wp:positionH>
                <wp:positionV relativeFrom="paragraph">
                  <wp:posOffset>39825930</wp:posOffset>
                </wp:positionV>
                <wp:extent cx="634365" cy="635"/>
                <wp:effectExtent l="635" t="635" r="635" b="635"/>
                <wp:wrapNone/>
                <wp:docPr id="5" name="Горизонтальная линия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20" cy="7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6.7pt,3135.9pt" to="546.6pt,3135.9pt" ID="Горизонтальная линия 2" stroked="t" o:allowincell="f" style="position:absolute">
                <v:stroke color="#3465a4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b/>
          <w:sz w:val="28"/>
        </w:rPr>
        <w:t>Сведения о порядке сбора информации и методике расчета целевых показателей Программы</w:t>
      </w:r>
    </w:p>
    <w:tbl>
      <w:tblPr>
        <w:tblStyle w:val="Style_3"/>
        <w:tblW w:w="14222" w:type="dxa"/>
        <w:jc w:val="left"/>
        <w:tblInd w:w="141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6"/>
        <w:gridCol w:w="2128"/>
        <w:gridCol w:w="695"/>
        <w:gridCol w:w="996"/>
        <w:gridCol w:w="1172"/>
        <w:gridCol w:w="1622"/>
        <w:gridCol w:w="2742"/>
        <w:gridCol w:w="3055"/>
        <w:gridCol w:w="1374"/>
      </w:tblGrid>
      <w:tr>
        <w:trPr/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№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п/п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Наименование целевого показателя</w:t>
            </w:r>
          </w:p>
        </w:tc>
        <w:tc>
          <w:tcPr>
            <w:tcW w:w="69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Ед. изм. (по ОКЕИ)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Характеристика планируемой динамики целевого показателя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perscript"/>
                <w:lang w:val="ru-RU" w:eastAsia="zh-CN" w:bidi="hi-IN"/>
              </w:rPr>
              <w:t>(1)</w:t>
            </w: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Метод расчета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perscript"/>
                <w:lang w:val="ru-RU" w:eastAsia="zh-CN" w:bidi="hi-IN"/>
              </w:rPr>
              <w:t>(2)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исполь-зуемым в формуле</w:t>
            </w: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40404"/>
                <w:spacing w:val="0"/>
                <w:kern w:val="0"/>
                <w:sz w:val="28"/>
                <w:szCs w:val="20"/>
                <w:lang w:val="ru-RU" w:eastAsia="zh-CN" w:bidi="hi-IN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305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Связь с показателем государственной программы и (или) ее структурного элемента</w:t>
            </w:r>
          </w:p>
        </w:tc>
        <w:tc>
          <w:tcPr>
            <w:tcW w:w="137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Ответственный за сбор данных и расчет целевого показателя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40404"/>
                <w:spacing w:val="0"/>
                <w:kern w:val="0"/>
                <w:sz w:val="28"/>
                <w:szCs w:val="20"/>
                <w:lang w:val="ru-RU" w:eastAsia="zh-CN" w:bidi="hi-IN"/>
              </w:rPr>
              <w:t>7</w:t>
            </w:r>
          </w:p>
        </w:tc>
        <w:tc>
          <w:tcPr>
            <w:tcW w:w="3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8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</w:tc>
      </w:tr>
      <w:tr>
        <w:trPr/>
        <w:tc>
          <w:tcPr>
            <w:tcW w:w="14220" w:type="dxa"/>
            <w:gridSpan w:val="9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40404"/>
                <w:spacing w:val="0"/>
                <w:kern w:val="0"/>
                <w:sz w:val="28"/>
                <w:szCs w:val="20"/>
                <w:lang w:val="ru-RU" w:eastAsia="zh-CN" w:bidi="hi-IN"/>
              </w:rPr>
              <w:t>Целевые показатели муниципальной программы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89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18415</wp:posOffset>
                      </wp:positionV>
                      <wp:extent cx="9022715" cy="635"/>
                      <wp:effectExtent l="3810" t="3810" r="3810" b="3810"/>
                      <wp:wrapNone/>
                      <wp:docPr id="6" name="Линия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22680" cy="72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.65pt,1.45pt" to="713.05pt,1.45pt" ID="Линия 2" stroked="t" o:allowincell="t" style="position:absolute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1905" distB="1905" distL="1905" distR="1905" simplePos="0" locked="0" layoutInCell="1" allowOverlap="1" relativeHeight="75">
                      <wp:simplePos x="0" y="0"/>
                      <wp:positionH relativeFrom="column">
                        <wp:posOffset>12748895</wp:posOffset>
                      </wp:positionH>
                      <wp:positionV relativeFrom="margin">
                        <wp:posOffset>210820</wp:posOffset>
                      </wp:positionV>
                      <wp:extent cx="9085580" cy="635"/>
                      <wp:effectExtent l="1905" t="1905" r="1905" b="1905"/>
                      <wp:wrapNone/>
                      <wp:docPr id="7" name="Picture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5680" cy="72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6.6pt" to="1719.2pt,16.6pt" ID="Picture 5" stroked="t" o:allowincell="t" style="position:absolute;mso-position-vertical-relative:margin">
                      <v:stroke color="black" weight="32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автоматизированных рабочих мест администрации, обеспеченных базовым комплектом лицензионных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программных продуктов российского производства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поддержание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накопи-тельный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88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1936115</wp:posOffset>
                      </wp:positionV>
                      <wp:extent cx="14399260" cy="153670"/>
                      <wp:effectExtent l="635" t="635" r="635" b="635"/>
                      <wp:wrapNone/>
                      <wp:docPr id="8" name="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399280" cy="153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52.45pt" to="2137.6pt,164.5pt" ID="Линия 1" stroked="t" o:allowincell="t" style="position:absolute;flip: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Д=К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ав_арм_обеспеч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/К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8"/>
                <w:szCs w:val="20"/>
                <w:lang w:val="ru-RU" w:eastAsia="zh-CN" w:bidi="hi-IN"/>
              </w:rPr>
              <w:t>общее_кол-во_арм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*100%, где Д- доля автоматизи-рованных рабочих мест, обеспечен-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ных базовым комплектом лицензион-ных програм-мных продуктов,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ав_арм_обеспеч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- количество автоматизи-рованных рабочих мест, обес-печенных базовым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комплектом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лицензион-ных програм-мных продуктов,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8"/>
                <w:szCs w:val="20"/>
                <w:lang w:val="ru-RU" w:eastAsia="zh-CN" w:bidi="hi-IN"/>
              </w:rPr>
              <w:t xml:space="preserve">общее_кол-во+арм –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общее количество рабочих мест адми-нистрации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Noto Serif CJK SC" w:cs="FreeSans"/>
                <w:color w:val="000000"/>
                <w:spacing w:val="0"/>
                <w:kern w:val="0"/>
                <w:sz w:val="28"/>
                <w:szCs w:val="28"/>
                <w:lang w:val="ru-RU" w:eastAsia="zh-CN" w:bidi="hi-IN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8"/>
                <w:lang w:val="ru-RU" w:eastAsia="zh-CN" w:bidi="hi-IN"/>
              </w:rPr>
              <w:t>7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hyperlink r:id="rId6">
              <w:r>
                <w:rPr>
                  <w:rStyle w:val="Style4"/>
                  <w:rFonts w:ascii="Times New Roman" w:hAnsi="Times New Roman"/>
                  <w:color w:val="040404"/>
                  <w:spacing w:val="0"/>
                  <w:kern w:val="0"/>
                  <w:sz w:val="28"/>
                  <w:szCs w:val="20"/>
                  <w:u w:val="none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 Президента Российской Федерации от 7 мая 2024 года № 309 «О национальных целях развития Российской Федерации на период до 2030 года и на перспективу до 2036</w:t>
            </w:r>
          </w:p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91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189865</wp:posOffset>
                      </wp:positionV>
                      <wp:extent cx="634365" cy="635"/>
                      <wp:effectExtent l="635" t="635" r="635" b="635"/>
                      <wp:wrapNone/>
                      <wp:docPr id="9" name="Горизонтальная 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32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4.95pt" to="1053.75pt,14.95pt" ID="Горизонтальная линия 1" stroked="t" o:allowincell="t" style="position:absolute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года»;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90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177800</wp:posOffset>
                      </wp:positionV>
                      <wp:extent cx="106045" cy="26035"/>
                      <wp:effectExtent l="635" t="635" r="635" b="635"/>
                      <wp:wrapNone/>
                      <wp:docPr id="10" name="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06200" cy="259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4pt" to="1012.15pt,16pt" ID="Линия 3" stroked="t" o:allowincell="t" style="position:absolute;flip:x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Постановление Правительства РФ от 15 апреля 2014 года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313 «Об утверждении государственной программы Российской Федерации "Информационное общество»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3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40404"/>
                <w:spacing w:val="0"/>
                <w:kern w:val="0"/>
                <w:sz w:val="28"/>
                <w:szCs w:val="20"/>
                <w:lang w:val="ru-RU" w:eastAsia="zh-CN" w:bidi="hi-IN"/>
              </w:rPr>
              <w:t>НЦ: увеличение к 2030 году до 95 процентов доли использования российского программного обеспечения в государственных органах, государственных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0"/>
                <w:szCs w:val="20"/>
                <w:lang w:val="ru-RU" w:eastAsia="zh-CN" w:bidi="hi-IN"/>
              </w:rPr>
              <w:t>8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40404"/>
                <w:spacing w:val="0"/>
                <w:kern w:val="0"/>
                <w:sz w:val="28"/>
                <w:szCs w:val="20"/>
                <w:lang w:val="ru-RU" w:eastAsia="zh-CN" w:bidi="hi-IN"/>
              </w:rPr>
              <w:t>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ГП: к 2030 году увеличена доля использования</w:t>
            </w:r>
          </w:p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российского программного обеспечения до 95 процентов в деятельности государственных органов, государствен-ных корпораций, государственных компаний и хозяйственных обществ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управле-ние информа-тизации и информа-ционной безопасности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10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2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76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23495</wp:posOffset>
                      </wp:positionV>
                      <wp:extent cx="8976360" cy="635"/>
                      <wp:effectExtent l="635" t="635" r="635" b="635"/>
                      <wp:wrapNone/>
                      <wp:docPr id="11" name="Picture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624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.2pt,1.85pt" to="708.95pt,1.85pt" ID="Picture 6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5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191135</wp:posOffset>
                      </wp:positionV>
                      <wp:extent cx="8936355" cy="26035"/>
                      <wp:effectExtent l="635" t="635" r="635" b="635"/>
                      <wp:wrapNone/>
                      <wp:docPr id="12" name="Линия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36280" cy="259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5.05pt" to="1707.45pt,17.05pt" ID="Линия 15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структурных подразделений администрации, обеспеченных доступом к информацион-ным системам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77">
                      <wp:simplePos x="0" y="0"/>
                      <wp:positionH relativeFrom="column">
                        <wp:posOffset>12748895</wp:posOffset>
                      </wp:positionH>
                      <wp:positionV relativeFrom="margin">
                        <wp:posOffset>219710</wp:posOffset>
                      </wp:positionV>
                      <wp:extent cx="9077960" cy="29210"/>
                      <wp:effectExtent l="3810" t="3810" r="3810" b="3810"/>
                      <wp:wrapNone/>
                      <wp:docPr id="13" name="Picture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8120" cy="2916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7.3pt" to="1718.6pt,19.55pt" ID="Picture 7" stroked="t" o:allowincell="t" style="position:absolute;mso-position-vertical-relative:margin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поддержание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накопительный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Д=К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стр_обеспеч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/К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8"/>
                <w:szCs w:val="20"/>
                <w:lang w:val="ru-RU" w:eastAsia="zh-CN" w:bidi="hi-IN"/>
              </w:rPr>
              <w:t>общее_кол-во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6"/>
                <w:szCs w:val="20"/>
                <w:lang w:val="ru-RU" w:eastAsia="zh-CN" w:bidi="hi-IN"/>
              </w:rPr>
              <w:t>_стр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*100%, где Д- доля структурных подразделе-ний, обеспечен-ных доступом к информаци-онным системам,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стр_обеспеч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–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количество структурных подразделений, обеспечен-ных доступом к информационным системам, 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8"/>
                <w:szCs w:val="20"/>
                <w:lang w:val="ru-RU" w:eastAsia="zh-CN" w:bidi="hi-IN"/>
              </w:rPr>
              <w:t>общее_кол-во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6"/>
                <w:szCs w:val="20"/>
                <w:lang w:val="ru-RU" w:eastAsia="zh-CN" w:bidi="hi-IN"/>
              </w:rPr>
              <w:t xml:space="preserve">_стр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– общее количество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структурных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подразделений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hyperlink r:id="rId7">
              <w:r>
                <w:rPr>
                  <w:rStyle w:val="Style4"/>
                  <w:rFonts w:ascii="Times New Roman" w:hAnsi="Times New Roman"/>
                  <w:color w:val="040404"/>
                  <w:spacing w:val="0"/>
                  <w:kern w:val="0"/>
                  <w:sz w:val="28"/>
                  <w:szCs w:val="20"/>
                  <w:u w:val="none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7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Постановление Правительства РФ от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15 апреля 2014 года № 313 «Об утверждении государственной программы Российской Федерации "Информационное общество»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НЦ: достижение к 2030 году "цифровой зрелости"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единых отраслевых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bookmarkStart w:id="9" w:name="sub_10219"/>
            <w:bookmarkEnd w:id="9"/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ГП: к 2030году достигнута "цифровая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57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зрелость" государственного и муниципального управления, ключевых отраслей экономики и социальной сферы;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ГП: к 2030 году доля государственных услуг и сервисов, в отношении которых средняя оценка удовлетворенности качеством работы государственных и муниципальных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служащих и работников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организаций социальной сферы по оказанию их в электронном виде с использованием феде-ральной государст-венной информацион-ной системы "Единый портал государственных и муниципальных услуг (функций)" (далее –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единый портал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государственных услуг) составит выше 4,5 балла из 5 баллов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управле-ние информа-тизации и информа-ционной безопасности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92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5080</wp:posOffset>
                      </wp:positionV>
                      <wp:extent cx="8996680" cy="8255"/>
                      <wp:effectExtent l="3810" t="3810" r="3810" b="3810"/>
                      <wp:wrapNone/>
                      <wp:docPr id="14" name="Линия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6760" cy="828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0.4pt" to="1712.2pt,1pt" ID="Линия 4" stroked="t" o:allowincell="t" style="position:absolute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0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1270</wp:posOffset>
                      </wp:positionV>
                      <wp:extent cx="9030970" cy="8255"/>
                      <wp:effectExtent l="635" t="635" r="635" b="635"/>
                      <wp:wrapNone/>
                      <wp:docPr id="15" name="Линия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30960" cy="828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0.1pt" to="1714.9pt,0.7pt" ID="Линия 11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7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168275</wp:posOffset>
                      </wp:positionV>
                      <wp:extent cx="9005570" cy="44450"/>
                      <wp:effectExtent l="635" t="635" r="635" b="635"/>
                      <wp:wrapNone/>
                      <wp:docPr id="16" name="Горизонтальная линия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05400" cy="4428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3.2pt,13.25pt" to="705.85pt,16.7pt" ID="Горизонтальная линия 4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работников администрации, обеспеченных базовым комплектом работоспособ-ной оргтехники и компьютер-ного оборудо-вания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поддержание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1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накопительный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62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6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350520</wp:posOffset>
                      </wp:positionV>
                      <wp:extent cx="86360" cy="8255"/>
                      <wp:effectExtent l="635" t="635" r="635" b="635"/>
                      <wp:wrapNone/>
                      <wp:docPr id="17" name="Линия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6400" cy="828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27.6pt" to="1010.6pt,28.2pt" ID="Линия 16" stroked="t" o:allowincell="t" style="position:absolute;flip:x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Д=К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сотр_обеспеч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/К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8"/>
                <w:szCs w:val="20"/>
                <w:lang w:val="ru-RU" w:eastAsia="zh-CN" w:bidi="hi-IN"/>
              </w:rPr>
              <w:t>общее_кол-во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6"/>
                <w:szCs w:val="20"/>
                <w:lang w:val="ru-RU" w:eastAsia="zh-CN" w:bidi="hi-IN"/>
              </w:rPr>
              <w:t>_сотр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*100%, где Д- доля работников администрации, обеспечен-ных базовым комплектом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работоспо-собной оргтехники,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сотр_обеспеч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– количество работников администра-ции, обеспечен-ным базовым комплектом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оргтехники,К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8"/>
                <w:szCs w:val="20"/>
                <w:lang w:val="ru-RU" w:eastAsia="zh-CN" w:bidi="hi-IN"/>
              </w:rPr>
              <w:t>общее_кол-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8"/>
                <w:szCs w:val="20"/>
                <w:lang w:val="ru-RU" w:eastAsia="zh-CN" w:bidi="hi-IN"/>
              </w:rPr>
              <w:t>во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6"/>
                <w:szCs w:val="20"/>
                <w:lang w:val="ru-RU" w:eastAsia="zh-CN" w:bidi="hi-IN"/>
              </w:rPr>
              <w:t xml:space="preserve">_сотр –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общее количество работников администра-ции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40404"/>
                <w:sz w:val="28"/>
              </w:rPr>
            </w:pPr>
            <w:r>
              <w:rPr>
                <w:color w:val="040404"/>
                <w:sz w:val="28"/>
              </w:rPr>
            </w:r>
          </w:p>
        </w:tc>
        <w:tc>
          <w:tcPr>
            <w:tcW w:w="305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1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1134110</wp:posOffset>
                      </wp:positionV>
                      <wp:extent cx="634365" cy="0"/>
                      <wp:effectExtent l="635" t="635" r="635" b="635"/>
                      <wp:wrapNone/>
                      <wp:docPr id="18" name="Горизонтальная 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320" cy="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89.3pt" to="1053.75pt,89.3pt" ID="Горизонтальная линия 3" stroked="t" o:allowincell="t" style="position:absolute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7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управле-ние информа-тизации и информа-ционной безопасности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93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230505</wp:posOffset>
                      </wp:positionV>
                      <wp:extent cx="9048750" cy="34925"/>
                      <wp:effectExtent l="3810" t="3810" r="3810" b="3810"/>
                      <wp:wrapNone/>
                      <wp:docPr id="19" name="Линия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600" cy="3492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8.15pt" to="1716.3pt,20.85pt" ID="Линия 5" stroked="t" o:allowincell="t" style="position:absolute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635" distB="635" distL="635" distR="635" simplePos="0" locked="0" layoutInCell="1" allowOverlap="1" relativeHeight="99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210185</wp:posOffset>
                      </wp:positionV>
                      <wp:extent cx="9109075" cy="26035"/>
                      <wp:effectExtent l="635" t="635" r="635" b="635"/>
                      <wp:wrapNone/>
                      <wp:docPr id="20" name="Линия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09080" cy="259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6.55pt" to="1721.05pt,18.55pt" ID="Линия 9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</w:tc>
      </w:tr>
      <w:tr>
        <w:trPr>
          <w:trHeight w:val="4192" w:hRule="atLeast"/>
        </w:trPr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78">
                      <wp:simplePos x="0" y="0"/>
                      <wp:positionH relativeFrom="column">
                        <wp:posOffset>-6350</wp:posOffset>
                      </wp:positionH>
                      <wp:positionV relativeFrom="margin">
                        <wp:posOffset>222250</wp:posOffset>
                      </wp:positionV>
                      <wp:extent cx="9070340" cy="15875"/>
                      <wp:effectExtent l="3810" t="3810" r="3810" b="3810"/>
                      <wp:wrapNone/>
                      <wp:docPr id="21" name="Picture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0200" cy="1584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5pt,17.5pt" to="713.65pt,18.7pt" ID="Picture 9" stroked="t" o:allowincell="t" style="position:absolute;mso-position-vertical-relative:margin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замененной и отремонтированной компьютерной и оргтехники из общего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количества нуждающейся в замене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поддержание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накопительный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Д=К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оргтех_о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6"/>
                <w:szCs w:val="20"/>
                <w:lang w:val="ru-RU" w:eastAsia="zh-CN" w:bidi="hi-IN"/>
              </w:rPr>
              <w:t>тремонтир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/К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8"/>
                <w:szCs w:val="20"/>
                <w:lang w:val="ru-RU" w:eastAsia="zh-CN" w:bidi="hi-IN"/>
              </w:rPr>
              <w:t>общее_кол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*100%, где Д– замененной и отремонти-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рованной компьютер-ной и оргтехники из общего количества, нуждающихся в замене,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оргтех_о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6"/>
                <w:szCs w:val="20"/>
                <w:lang w:val="ru-RU" w:eastAsia="zh-CN" w:bidi="hi-IN"/>
              </w:rPr>
              <w:t xml:space="preserve">тремонтир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- количество замененной 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отремонти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рованной компьютер-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ной и оргтехники,К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18"/>
                <w:szCs w:val="20"/>
                <w:lang w:val="ru-RU" w:eastAsia="zh-CN" w:bidi="hi-IN"/>
              </w:rPr>
              <w:t>общее_кол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– общее кол-во компьютерной и оргтехники и, нуждающейся в замене и ремонте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«О национальных целях развития Российской Федерации на период</w:t>
            </w:r>
          </w:p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до 2030 года и на перспективу до 2036 года»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организаций социальной сферы не менее чем на 50 процентов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управле-ние информа-тизации и информа-ционной безопасно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80">
                      <wp:simplePos x="0" y="0"/>
                      <wp:positionH relativeFrom="column">
                        <wp:posOffset>-41275</wp:posOffset>
                      </wp:positionH>
                      <wp:positionV relativeFrom="margin">
                        <wp:posOffset>228600</wp:posOffset>
                      </wp:positionV>
                      <wp:extent cx="9114790" cy="23495"/>
                      <wp:effectExtent l="3810" t="3810" r="3810" b="3810"/>
                      <wp:wrapNone/>
                      <wp:docPr id="22" name="Picture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14840" cy="2340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3.25pt,18pt" to="714.4pt,19.8pt" ID="Picture 11" stroked="t" o:allowincell="t" style="position:absolute;mso-position-vertical-relative:margin">
                      <v:stroke color="black" weight="684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12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расходными материалами компьютерной и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оргтехники структурных подразделений администрации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поддержание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1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накопительный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О=К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орг_обеспеч_матер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/К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общее_кол_оргтех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*100%, где О–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обеспечен-ность расходными материалами,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орг_обеспеч_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матер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- коли-чество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Noto Serif CJK SC" w:cs="FreeSans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оргтехники, обеспечен-ной расходными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материалами,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общее_кол_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оргтех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- общее количество оргтехники в администрации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"О</w:t>
            </w:r>
          </w:p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7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управле-ние информа-тизации 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информа-ционной безопасности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81">
                      <wp:simplePos x="0" y="0"/>
                      <wp:positionH relativeFrom="column">
                        <wp:posOffset>-85090</wp:posOffset>
                      </wp:positionH>
                      <wp:positionV relativeFrom="margin">
                        <wp:posOffset>213360</wp:posOffset>
                      </wp:positionV>
                      <wp:extent cx="9158605" cy="3175"/>
                      <wp:effectExtent l="3810" t="3810" r="3810" b="3810"/>
                      <wp:wrapNone/>
                      <wp:docPr id="23" name="Picture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158760" cy="324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>
                                      <w:color w:val="000000"/>
                                      <w:spacing w:val="0"/>
                                    </w:rPr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lIns="47520" rIns="47520" tIns="-21600" bIns="-21600" anchor="t" anchorCtr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6.7pt,16.8pt" to="714.4pt,17pt" ID="Picture 12" stroked="t" o:allowincell="t" style="position:absolute;flip:y;mso-position-vertical-relative:margin">
                      <v:stroke color="black" weight="6840" joinstyle="round" endcap="flat"/>
                      <v:fill o:detectmouseclick="t" on="false"/>
                      <v:textbox>
                        <w:txbxContent>
                          <w:p>
                            <w:pPr>
                              <w:pStyle w:val="Normal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структурных подразделений администрации, обеспеченных средствами связи и скоростным Интернетом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поддержание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накопительный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Д=К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стр_подр_обеспеч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/К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струк_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подр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*100%, где Д- доля структурных подразделений, обеспеченных средствами связи и Интернет,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струк_подр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 - количество структурных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Noto Serif CJK SC" w:cs="FreeSans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подразделений, обеспечен-ных средствами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связи и Ин-тернет,  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 xml:space="preserve">струк_подр  – 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общее  коли-чество структурных подразделе-ний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"О национальных целях развития Российской Федерации на период</w:t>
            </w:r>
          </w:p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до 2030 года и на перспективу до 2036 года"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организаций социальной сферы не менее чем на 50 процентов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управле-ние информа-тизации и информа-ционной безопасно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7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83">
                      <wp:simplePos x="0" y="0"/>
                      <wp:positionH relativeFrom="column">
                        <wp:posOffset>42545</wp:posOffset>
                      </wp:positionH>
                      <wp:positionV relativeFrom="margin">
                        <wp:posOffset>200660</wp:posOffset>
                      </wp:positionV>
                      <wp:extent cx="8987155" cy="0"/>
                      <wp:effectExtent l="3810" t="3810" r="3810" b="3810"/>
                      <wp:wrapNone/>
                      <wp:docPr id="24" name="Picture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87040" cy="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rPr>
                                      <w:color w:val="000000"/>
                                      <w:spacing w:val="0"/>
                                    </w:rPr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lIns="47520" rIns="47520" tIns="-29160" bIns="-29160" anchor="t" anchorCtr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.35pt,15.8pt" to="710.95pt,15.8pt" ID="Picture 13" stroked="t" o:allowincell="t" style="position:absolute;mso-position-vertical-relative:margin">
                      <v:stroke color="black" weight="6840" joinstyle="round" endcap="flat"/>
                      <v:fill o:detectmouseclick="t" on="false"/>
                      <v:textbox>
                        <w:txbxContent>
                          <w:p>
                            <w:pPr>
                              <w:pStyle w:val="Normal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line>
                  </w:pict>
                </mc:Fallback>
              </mc:AlternateConten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структурных подразделений администрации электронным документооборотом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99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поддержание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накопительный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 =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эл.док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/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* 100%, где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 -  обеспечен-ность элект-ронным документооборотом,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bookmarkStart w:id="10" w:name="P00D60015"/>
            <w:bookmarkEnd w:id="10"/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эл.док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- количество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структурных подразделений адми-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Noto Serif CJK SC" w:cs="FreeSans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нистрации, обес-печенных электрон-ным документо-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оборотом,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bookmarkStart w:id="11" w:name="P00D60016"/>
            <w:bookmarkEnd w:id="11"/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общ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- общее количество структурных подразделе-ний администра-ции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Указ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305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НЦ: достижение к 2030 году "цифровой зрелости"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автоматизацию большей части транзакций в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Noto Serif CJK SC" w:cs="FreeSans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8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рамках единых отраслевых цифровых платформ и модели управления на основе данных с учетом уско-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ренного внедрения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технологий обработки больших объемов данных, машинного обучения и искусствен-ного интеллекта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управле-ие информа-тизации и информа-ционной безопасности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8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охват мерами защиты информации информационно-технических ресурсов и коммуникаций администрации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3810" distB="3810" distL="3810" distR="3810" simplePos="0" locked="0" layoutInCell="1" allowOverlap="1" relativeHeight="85">
                      <wp:simplePos x="0" y="0"/>
                      <wp:positionH relativeFrom="column">
                        <wp:posOffset>-361950</wp:posOffset>
                      </wp:positionH>
                      <wp:positionV relativeFrom="margin">
                        <wp:posOffset>215900</wp:posOffset>
                      </wp:positionV>
                      <wp:extent cx="9083675" cy="8890"/>
                      <wp:effectExtent l="3810" t="3810" r="3810" b="3810"/>
                      <wp:wrapNone/>
                      <wp:docPr id="25" name="Picture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3520" cy="900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32"/>
                                    <w:overflowPunct w:val="false"/>
                                    <w:jc w:val="lef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32"/>
                                    <w:overflowPunct w:val="false"/>
                                    <w:jc w:val="lef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lIns="92160" rIns="92160" tIns="-34200" bIns="-34200" anchor="t" anchorCtr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28.5pt,17pt" to="686.7pt,17.65pt" ID="Picture 15" stroked="t" o:allowincell="t" style="position:absolute;mso-position-vertical-relative:margin">
                      <v:stroke color="black" weight="6840" joinstyle="round" endcap="flat"/>
                      <v:fill o:detectmouseclick="t" on="false"/>
                      <v:textbox>
                        <w:txbxContent>
                          <w:p>
                            <w:pPr>
                              <w:pStyle w:val="32"/>
                              <w:overflowPunct w:val="false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32"/>
                              <w:overflowPunct w:val="false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поддержание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8"/>
                <w:lang w:val="ru-RU" w:eastAsia="zh-CN" w:bidi="hi-IN"/>
              </w:rPr>
              <w:t>4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накопительный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О=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арм_ср_защ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* 100%, где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О - охват мерами защиты информации,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арм_ср_защ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- количество автоматизированных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Noto Serif CJK SC" w:cs="FreeSans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рабочих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мест с установленными средствами защиты информации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в админи-страции, 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общ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- общее количество рабочих мест в админи-страции</w:t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hyperlink r:id="rId8">
              <w:r>
                <w:rPr>
                  <w:rStyle w:val="Style4"/>
                  <w:rFonts w:ascii="Times New Roman" w:hAnsi="Times New Roman"/>
                  <w:color w:val="040404"/>
                  <w:spacing w:val="0"/>
                  <w:kern w:val="0"/>
                  <w:sz w:val="28"/>
                  <w:szCs w:val="20"/>
                  <w:u w:val="none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 Президента Российской Федерации от 7 мая 202 года № 309 "О 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Постановление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Правительства РФ от 15 апреля 2014 года № 313 «Об утверждении  государственной программы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Российской Федерации "Информационное общество»</w:t>
            </w:r>
          </w:p>
        </w:tc>
        <w:tc>
          <w:tcPr>
            <w:tcW w:w="3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создание системы эффективного противодействия преступлениям, совершаемым с использованием информационно-телекоммуникационных технологий, и снижения ущерба от их совершения;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НЦ:  обеспечение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сетевого суверенитета и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информационной безопасности в информационно-телекоммуникационной сети "Интернет".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ГП: к 2030 году обеспечены сетевой суверенитет и информационная безопасность в сети "Интернет".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управле-ние информа-тизации и информа-ционной безопасности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</w:tc>
      </w:tr>
      <w:tr>
        <w:trPr/>
        <w:tc>
          <w:tcPr>
            <w:tcW w:w="43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9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аттестован-ных рабочих мест в соответст-вии с требова-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ниями по технической защите информации, содержащей сведения, не составляющих государствен-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ную тайну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%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поддержание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4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17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накопительный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5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6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Д= 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арм_аттест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/К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* 100%, где  Д - доля аттестован-ных рабочих мест,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арм_аттест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- количество рабочих средств аттестован-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Noto Serif CJK SC" w:cs="FreeSans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6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ных в соответствии с требования-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ми,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К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vertAlign w:val="subscript"/>
                <w:lang w:val="ru-RU" w:eastAsia="zh-CN" w:bidi="hi-IN"/>
              </w:rPr>
              <w:t>общ</w:t>
            </w: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- общее количество рабочих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мест в администрации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</w:r>
          </w:p>
        </w:tc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hyperlink r:id="rId9">
              <w:r>
                <w:rPr>
                  <w:rStyle w:val="Style4"/>
                  <w:rFonts w:ascii="Times New Roman" w:hAnsi="Times New Roman"/>
                  <w:color w:val="040404"/>
                  <w:spacing w:val="0"/>
                  <w:kern w:val="0"/>
                  <w:sz w:val="28"/>
                  <w:szCs w:val="20"/>
                  <w:u w:val="none"/>
                </w:rPr>
                <w:t>Указ</w:t>
              </w:r>
            </w:hyperlink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 Президента Российской Федерации от 7 мая 202 года № 309 "О национальных целях развития Российской Федерации на период до 2030 года и на перспективу до 2036 года"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Постановление Правительства РФ от 15 апреля 2014 года № 313 «Об утверждении государственной программы Российской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Федерации "Информационное общество»</w:t>
            </w:r>
          </w:p>
        </w:tc>
        <w:tc>
          <w:tcPr>
            <w:tcW w:w="30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создание системы эффективного противодействия преступлениям, совершаемым с использованием информационно-телекоммуникационных технологий, и снижения ущерба от их совершения;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8"/>
              </w:rPr>
              <w:t>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НЦ:  обеспечение сетевого суверенитета и информационной безопасности в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информационно-телекоммуникационной сети "Интернет".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ГП: к 2030 году обеспечены сетевой суверенитет и информационная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безопасность в сети "Интернет".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eastAsia="Noto Serif CJK SC" w:cs="FreeSans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управле-ние информа-тизации и информа-ционной безопасности</w:t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lef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125"/>
              <w:widowControl/>
              <w:suppressAutoHyphens w:val="true"/>
              <w:spacing w:lineRule="auto" w:line="240" w:before="0" w:after="0"/>
              <w:ind w:hanging="0" w:left="57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</w:tbl>
    <w:p>
      <w:pPr>
        <w:pStyle w:val="ConsPlusNormal1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s">
            <w:drawing>
              <wp:anchor behindDoc="0" distT="3810" distB="3810" distL="3810" distR="3810" simplePos="0" locked="0" layoutInCell="1" allowOverlap="1" relativeHeight="87">
                <wp:simplePos x="0" y="0"/>
                <wp:positionH relativeFrom="column">
                  <wp:posOffset>27305</wp:posOffset>
                </wp:positionH>
                <wp:positionV relativeFrom="page">
                  <wp:posOffset>1050290</wp:posOffset>
                </wp:positionV>
                <wp:extent cx="9070340" cy="0"/>
                <wp:effectExtent l="3810" t="3810" r="3810" b="3810"/>
                <wp:wrapNone/>
                <wp:docPr id="26" name="Pictur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7020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15pt,82.7pt" to="716.3pt,82.7pt" ID="Picture 16" stroked="t" o:allowincell="f" style="position:absolute;mso-position-vertical-relative:page">
                <v:stroke color="black" weight="684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ConsPlusNormal1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ОКЕИ — общероссийский классификатор единиц измерения;</w:t>
      </w:r>
    </w:p>
    <w:p>
      <w:pPr>
        <w:pStyle w:val="ConsPlusNormal1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(1) - приводится одно из значений: возрастание, убывание, поддержание;</w:t>
      </w:r>
    </w:p>
    <w:p>
      <w:pPr>
        <w:pStyle w:val="ConsPlusNormal1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(2) - накопительный итог или дискретный показатель;</w:t>
      </w:r>
    </w:p>
    <w:p>
      <w:pPr>
        <w:pStyle w:val="ConsPlusNormal1"/>
        <w:ind w:firstLine="709" w:left="0" w:right="0"/>
        <w:jc w:val="both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 xml:space="preserve">НЦ- национальные цели развития с соответствии с </w:t>
      </w:r>
      <w:hyperlink r:id="rId10">
        <w:r>
          <w:rPr>
            <w:rStyle w:val="Style4"/>
            <w:rFonts w:ascii="Times New Roman" w:hAnsi="Times New Roman"/>
            <w:color w:val="040404"/>
            <w:sz w:val="28"/>
            <w:u w:val="none"/>
          </w:rPr>
  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</w:r>
      </w:hyperlink>
      <w:r>
        <w:rPr>
          <w:rFonts w:ascii="Times New Roman" w:hAnsi="Times New Roman"/>
          <w:color w:val="040404"/>
          <w:sz w:val="28"/>
        </w:rPr>
        <w:t>;</w:t>
      </w:r>
    </w:p>
    <w:p>
      <w:pPr>
        <w:pStyle w:val="ConsPlusNormal1"/>
        <w:ind w:firstLine="709" w:left="0" w:right="0"/>
        <w:jc w:val="both"/>
        <w:rPr>
          <w:rFonts w:ascii="Times New Roman" w:hAnsi="Times New Roman"/>
          <w:b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ГП- целевые показатели в соответствии с постановлением Правительства Российской Федерации от 15 апреля 2014 года № 313 «Об утверждении государственной программы Российской Федерации "Информационное общество».</w:t>
      </w:r>
    </w:p>
    <w:p>
      <w:pPr>
        <w:pStyle w:val="ConsPlusNormal1"/>
        <w:ind w:firstLine="709" w:left="0" w:right="0"/>
        <w:jc w:val="both"/>
        <w:rPr>
          <w:rFonts w:ascii="Times New Roman" w:hAnsi="Times New Roman"/>
          <w:b/>
          <w:color w:val="040404"/>
          <w:sz w:val="28"/>
        </w:rPr>
      </w:pPr>
      <w:r>
        <w:rPr>
          <w:rFonts w:ascii="Times New Roman" w:hAnsi="Times New Roman"/>
          <w:b/>
          <w:color w:val="040404"/>
          <w:sz w:val="28"/>
        </w:rPr>
      </w:r>
    </w:p>
    <w:p>
      <w:pPr>
        <w:pStyle w:val="ConsPlusNormal1"/>
        <w:ind w:firstLine="709" w:left="0" w:right="0"/>
        <w:jc w:val="both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Сроки реализации Программы: 2027-2032 годы.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Этапы реализации Программы не предусмотрены.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212"/>
        <w:jc w:val="center"/>
        <w:rPr>
          <w:b/>
        </w:rPr>
      </w:pPr>
      <w:r>
        <w:rPr>
          <w:b/>
        </w:rPr>
        <w:t>3. Перечень основных мероприятий Программы</w:t>
      </w:r>
    </w:p>
    <w:p>
      <w:pPr>
        <w:pStyle w:val="212"/>
        <w:jc w:val="center"/>
        <w:rPr>
          <w:b/>
        </w:rPr>
      </w:pPr>
      <w:r>
        <w:rPr>
          <w:b/>
        </w:rPr>
      </w:r>
    </w:p>
    <w:p>
      <w:pPr>
        <w:pStyle w:val="212"/>
        <w:jc w:val="center"/>
        <w:rPr>
          <w:b/>
        </w:rPr>
      </w:pPr>
      <w:r>
        <w:rPr>
          <w:b/>
        </w:rPr>
      </w:r>
    </w:p>
    <w:tbl>
      <w:tblPr>
        <w:tblStyle w:val="Style_3"/>
        <w:tblW w:w="1429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60"/>
        <w:gridCol w:w="2944"/>
        <w:gridCol w:w="1842"/>
        <w:gridCol w:w="1369"/>
        <w:gridCol w:w="1213"/>
        <w:gridCol w:w="1239"/>
        <w:gridCol w:w="1236"/>
        <w:gridCol w:w="1239"/>
        <w:gridCol w:w="10"/>
        <w:gridCol w:w="2437"/>
      </w:tblGrid>
      <w:tr>
        <w:trPr>
          <w:trHeight w:val="391" w:hRule="atLeast"/>
        </w:trPr>
        <w:tc>
          <w:tcPr>
            <w:tcW w:w="7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 xml:space="preserve">№ </w:t>
            </w:r>
            <w:r>
              <w:rPr>
                <w:color w:val="000000"/>
                <w:spacing w:val="0"/>
                <w:kern w:val="0"/>
                <w:szCs w:val="20"/>
              </w:rPr>
              <w:t>п/п</w:t>
            </w:r>
          </w:p>
        </w:tc>
        <w:tc>
          <w:tcPr>
            <w:tcW w:w="29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Год реализации</w:t>
            </w:r>
          </w:p>
        </w:tc>
        <w:tc>
          <w:tcPr>
            <w:tcW w:w="629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Объем финансирования, всего (тыс. руб.)</w:t>
            </w:r>
          </w:p>
        </w:tc>
        <w:tc>
          <w:tcPr>
            <w:tcW w:w="244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Исполнитель мероприятия</w:t>
            </w:r>
          </w:p>
        </w:tc>
      </w:tr>
      <w:tr>
        <w:trPr>
          <w:trHeight w:val="281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6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ВСЕГО</w:t>
            </w:r>
          </w:p>
        </w:tc>
        <w:tc>
          <w:tcPr>
            <w:tcW w:w="4927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разрезе источников финансирования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1612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69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Местный бюджет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Краевой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бюджет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Федеральный бюджет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Внебюджетные источники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41" w:hRule="atLeast"/>
        </w:trPr>
        <w:tc>
          <w:tcPr>
            <w:tcW w:w="7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</w:tc>
        <w:tc>
          <w:tcPr>
            <w:tcW w:w="29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6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244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9</w:t>
            </w:r>
          </w:p>
        </w:tc>
      </w:tr>
      <w:tr>
        <w:trPr>
          <w:trHeight w:val="446" w:hRule="atLeast"/>
        </w:trPr>
        <w:tc>
          <w:tcPr>
            <w:tcW w:w="14289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 Процессная часть </w:t>
            </w:r>
            <w:r>
              <w:rPr>
                <w:color w:val="000000"/>
                <w:spacing w:val="0"/>
                <w:kern w:val="0"/>
                <w:szCs w:val="20"/>
                <w:vertAlign w:val="superscript"/>
              </w:rPr>
              <w:t>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446" w:hRule="atLeast"/>
        </w:trPr>
        <w:tc>
          <w:tcPr>
            <w:tcW w:w="14289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Цель: Организация эффективной деятельности администрации 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446" w:hRule="atLeast"/>
        </w:trPr>
        <w:tc>
          <w:tcPr>
            <w:tcW w:w="14289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Задачи: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поддержка и развитие официального Интернет-портала администрации;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color w:val="040404"/>
              </w:rPr>
            </w:pPr>
            <w:r>
              <w:rPr>
                <w:color w:val="040404"/>
                <w:spacing w:val="0"/>
                <w:kern w:val="0"/>
                <w:szCs w:val="20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1</w:t>
            </w:r>
          </w:p>
        </w:tc>
        <w:tc>
          <w:tcPr>
            <w:tcW w:w="29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244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>
          <w:trHeight w:val="446" w:hRule="atLeast"/>
        </w:trPr>
        <w:tc>
          <w:tcPr>
            <w:tcW w:w="14289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</w:t>
            </w:r>
          </w:p>
        </w:tc>
      </w:tr>
      <w:tr>
        <w:trPr>
          <w:trHeight w:val="200" w:hRule="atLeast"/>
        </w:trPr>
        <w:tc>
          <w:tcPr>
            <w:tcW w:w="14289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1.1. Мероприятие: Использование информационных и коммуникационных технологий в муниципальном управлении администрации Северского муниципального района, общесистемные мероприятия</w:t>
            </w:r>
          </w:p>
        </w:tc>
      </w:tr>
      <w:tr>
        <w:trPr>
          <w:trHeight w:val="393" w:hRule="atLeast"/>
        </w:trPr>
        <w:tc>
          <w:tcPr>
            <w:tcW w:w="7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том числе: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Поставка компью-теров, оргтехники, программного обес-печения, обслужи-вание информа-ционных систем, хостинг Интернет-портала, услуги по заправке картриджей, ремонту оргтехники, услуги связи, поставка картриджей, материалов и комплектующих, утилизации оргтехники, оплата кредиторской задол-женнсти за предыду-щий год и другое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2027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1057</w:t>
            </w:r>
            <w:r>
              <w:rPr>
                <w:color w:val="000000"/>
                <w:spacing w:val="0"/>
                <w:kern w:val="0"/>
                <w:szCs w:val="20"/>
              </w:rPr>
              <w:t>5</w:t>
            </w:r>
            <w:r>
              <w:rPr>
                <w:color w:val="000000"/>
                <w:spacing w:val="0"/>
                <w:kern w:val="0"/>
                <w:szCs w:val="20"/>
              </w:rPr>
              <w:t>,87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1057</w:t>
            </w:r>
            <w:r>
              <w:rPr>
                <w:color w:val="000000"/>
                <w:spacing w:val="0"/>
                <w:kern w:val="0"/>
                <w:szCs w:val="20"/>
              </w:rPr>
              <w:t>5</w:t>
            </w:r>
            <w:r>
              <w:rPr>
                <w:color w:val="000000"/>
                <w:spacing w:val="0"/>
                <w:kern w:val="0"/>
                <w:szCs w:val="20"/>
              </w:rPr>
              <w:t>,87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начальник управления информатизации и информационной безопасности Н.Н.Сергиевская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widowControl w:val="false"/>
              <w:suppressAutoHyphens w:val="true"/>
              <w:bidi w:val="0"/>
              <w:spacing w:lineRule="auto" w:line="240" w:before="0" w:after="0"/>
              <w:ind w:hanging="0" w:left="57" w:right="283"/>
              <w:jc w:val="both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2028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1057</w:t>
            </w:r>
            <w:r>
              <w:rPr>
                <w:color w:val="000000"/>
                <w:spacing w:val="0"/>
                <w:kern w:val="0"/>
                <w:szCs w:val="20"/>
              </w:rPr>
              <w:t>5</w:t>
            </w:r>
            <w:r>
              <w:rPr>
                <w:color w:val="000000"/>
                <w:spacing w:val="0"/>
                <w:kern w:val="0"/>
                <w:szCs w:val="20"/>
              </w:rPr>
              <w:t>,87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1057</w:t>
            </w:r>
            <w:r>
              <w:rPr>
                <w:color w:val="000000"/>
                <w:spacing w:val="0"/>
                <w:kern w:val="0"/>
                <w:szCs w:val="20"/>
              </w:rPr>
              <w:t>5</w:t>
            </w:r>
            <w:r>
              <w:rPr>
                <w:color w:val="000000"/>
                <w:spacing w:val="0"/>
                <w:kern w:val="0"/>
                <w:szCs w:val="20"/>
              </w:rPr>
              <w:t>,87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2029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1057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5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,87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1057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5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,87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2030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2031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2032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78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ИТОГО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317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27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,61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317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27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,61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40404"/>
              </w:rPr>
            </w:pPr>
            <w:r>
              <w:rPr>
                <w:color w:val="040404"/>
                <w:spacing w:val="0"/>
                <w:kern w:val="0"/>
                <w:szCs w:val="20"/>
              </w:rPr>
              <w:t>1</w:t>
            </w:r>
          </w:p>
        </w:tc>
        <w:tc>
          <w:tcPr>
            <w:tcW w:w="29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244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9</w:t>
            </w:r>
          </w:p>
        </w:tc>
      </w:tr>
      <w:tr>
        <w:trPr/>
        <w:tc>
          <w:tcPr>
            <w:tcW w:w="14289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color w:val="040404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Задачи: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color w:val="040404"/>
              </w:rPr>
            </w:pPr>
            <w:r>
              <w:rPr>
                <w:color w:val="040404"/>
                <w:spacing w:val="0"/>
                <w:kern w:val="0"/>
                <w:szCs w:val="20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 xml:space="preserve">– </w:t>
            </w:r>
            <w:r>
              <w:rPr>
                <w:rFonts w:ascii="Times New Roman" w:hAnsi="Times New Roman"/>
                <w:color w:val="040404"/>
                <w:spacing w:val="0"/>
                <w:kern w:val="0"/>
                <w:sz w:val="28"/>
                <w:szCs w:val="20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информатизации.</w:t>
            </w:r>
          </w:p>
        </w:tc>
      </w:tr>
      <w:tr>
        <w:trPr/>
        <w:tc>
          <w:tcPr>
            <w:tcW w:w="14289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1.2. Мероприятие: Мероприятия по обеспечению защиты и безопасности информационных ресурсов</w:t>
            </w:r>
          </w:p>
        </w:tc>
      </w:tr>
      <w:tr>
        <w:trPr>
          <w:trHeight w:val="370" w:hRule="atLeast"/>
        </w:trPr>
        <w:tc>
          <w:tcPr>
            <w:tcW w:w="7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4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том числе: поставка технических и программных средств защиты информации, электронных ключей, обеспечение сопро-вождения средств защиты информации, серверов, услуги по аттестации информа-ционных систем персональных данных, оплата кредиторской задолженности за пре-дыдущий год и другое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2027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5966,2</w:t>
            </w: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5966,2</w:t>
            </w: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начальник управления информатизации и информационной безопасности Н.Н.Сергиевская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2028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5966,2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3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5966,2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2029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5966,2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3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5966,2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3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2030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2031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2032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2062" w:hRule="atLeast"/>
        </w:trPr>
        <w:tc>
          <w:tcPr>
            <w:tcW w:w="760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94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ИТОГО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/>
              <w:t>178</w:t>
            </w:r>
            <w:r>
              <w:rPr/>
              <w:t>9</w:t>
            </w:r>
            <w:r>
              <w:rPr/>
              <w:t>8,</w:t>
            </w:r>
            <w:r>
              <w:rPr/>
              <w:t>69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178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9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8,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69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173" w:hRule="atLeast"/>
        </w:trPr>
        <w:tc>
          <w:tcPr>
            <w:tcW w:w="370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ВСЕГО по мероприятиям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2027год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1654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,1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1654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,1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9</w:t>
            </w:r>
          </w:p>
        </w:tc>
      </w:tr>
      <w:tr>
        <w:trPr>
          <w:trHeight w:val="243" w:hRule="atLeast"/>
        </w:trPr>
        <w:tc>
          <w:tcPr>
            <w:tcW w:w="370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2028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1654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,1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1654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,1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456" w:hRule="atLeast"/>
        </w:trPr>
        <w:tc>
          <w:tcPr>
            <w:tcW w:w="370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2029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1654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,1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1654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,1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370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2030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7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29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6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3704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2031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370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2032 год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3704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ИТОГО</w:t>
            </w:r>
          </w:p>
        </w:tc>
        <w:tc>
          <w:tcPr>
            <w:tcW w:w="136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496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26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,3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highlight w:val="none"/>
                <w:shd w:fill="FFFFFF" w:val="clear"/>
              </w:rPr>
            </w:pP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496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26</w:t>
            </w:r>
            <w:r>
              <w:rPr>
                <w:color w:val="000000"/>
                <w:spacing w:val="0"/>
                <w:kern w:val="0"/>
                <w:szCs w:val="20"/>
                <w:shd w:fill="FFFFFF" w:val="clear"/>
              </w:rPr>
              <w:t>,3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2447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426" w:hRule="atLeast"/>
        </w:trPr>
        <w:tc>
          <w:tcPr>
            <w:tcW w:w="11852" w:type="dxa"/>
            <w:gridSpan w:val="9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2. Проектная часть</w:t>
            </w:r>
            <w:r>
              <w:rPr>
                <w:color w:val="000000"/>
                <w:spacing w:val="0"/>
                <w:kern w:val="0"/>
                <w:szCs w:val="20"/>
              </w:rPr>
              <w:t> </w:t>
            </w:r>
            <w:r>
              <w:rPr>
                <w:color w:val="000000"/>
                <w:spacing w:val="0"/>
                <w:kern w:val="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отсутствует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2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</w:tbl>
    <w:p>
      <w:pPr>
        <w:pStyle w:val="212"/>
        <w:jc w:val="center"/>
        <w:rPr>
          <w:b/>
        </w:rPr>
      </w:pPr>
      <w:r>
        <w:rPr>
          <w:b/>
        </w:rPr>
      </w:r>
    </w:p>
    <w:p>
      <w:pPr>
        <w:pStyle w:val="212"/>
        <w:jc w:val="center"/>
        <w:rPr>
          <w:b/>
        </w:rPr>
      </w:pPr>
      <w:r>
        <w:rPr>
          <w:b/>
        </w:rPr>
      </w:r>
    </w:p>
    <w:p>
      <w:pPr>
        <w:pStyle w:val="212"/>
        <w:jc w:val="center"/>
        <w:rPr>
          <w:b/>
        </w:rPr>
      </w:pPr>
      <w:r>
        <w:rPr>
          <w:b/>
        </w:rPr>
        <w:t xml:space="preserve">Перечень мероприятий Программы с отражением непосредственного </w:t>
      </w:r>
    </w:p>
    <w:p>
      <w:pPr>
        <w:pStyle w:val="212"/>
        <w:jc w:val="center"/>
        <w:rPr>
          <w:b/>
        </w:rPr>
      </w:pPr>
      <w:r>
        <w:rPr>
          <w:b/>
        </w:rPr>
        <w:t>результата и связи с целевыми показателями</w:t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Style w:val="Style_3"/>
        <w:tblW w:w="1420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46"/>
        <w:gridCol w:w="2819"/>
        <w:gridCol w:w="1949"/>
        <w:gridCol w:w="1373"/>
        <w:gridCol w:w="1375"/>
        <w:gridCol w:w="1497"/>
        <w:gridCol w:w="1691"/>
        <w:gridCol w:w="2650"/>
        <w:gridCol w:w="2"/>
        <w:gridCol w:w="1"/>
      </w:tblGrid>
      <w:tr>
        <w:trPr/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 xml:space="preserve">№ </w:t>
            </w:r>
            <w:r>
              <w:rPr>
                <w:color w:val="000000"/>
                <w:spacing w:val="0"/>
                <w:kern w:val="0"/>
                <w:szCs w:val="20"/>
              </w:rPr>
              <w:t>п/п</w:t>
            </w:r>
          </w:p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Наименования мероприятий</w:t>
            </w:r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Ответствен-ный исполнитель мероприятия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(с указанием Ф.И.О., должности, организации)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срок</w:t>
            </w:r>
          </w:p>
        </w:tc>
        <w:tc>
          <w:tcPr>
            <w:tcW w:w="1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Непосредственный результат реализации мероприя-тий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(по годам) с указанием единиц измерения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(по ОКЕИ)</w:t>
            </w:r>
          </w:p>
        </w:tc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Вид документа, подтверждающий выполнение (достижение) мероприятия (результата)</w:t>
            </w:r>
          </w:p>
        </w:tc>
        <w:tc>
          <w:tcPr>
            <w:tcW w:w="2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Связь с целевыми показателями муниципальной программы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8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81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94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начало реализа-ции</w:t>
            </w: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окончание реализации</w:t>
            </w:r>
          </w:p>
        </w:tc>
        <w:tc>
          <w:tcPr>
            <w:tcW w:w="149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65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41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</w:tc>
        <w:tc>
          <w:tcPr>
            <w:tcW w:w="28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3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6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26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66" w:hRule="atLeast"/>
        </w:trPr>
        <w:tc>
          <w:tcPr>
            <w:tcW w:w="1420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 Процессная часть </w:t>
            </w:r>
            <w:r>
              <w:rPr>
                <w:caps/>
                <w:color w:val="000000"/>
                <w:spacing w:val="0"/>
                <w:kern w:val="0"/>
                <w:szCs w:val="20"/>
                <w:vertAlign w:val="superscript"/>
              </w:rPr>
              <w:t>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400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</w:tc>
        <w:tc>
          <w:tcPr>
            <w:tcW w:w="28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3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26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805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1.1.</w:t>
            </w:r>
          </w:p>
        </w:tc>
        <w:tc>
          <w:tcPr>
            <w:tcW w:w="1335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Мероприятие: Использование информационных и коммуникационных технологий в муниципальном управлении Северского муниципального района Краснодарского края, общесистемные мероприятия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805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2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9525</wp:posOffset>
                      </wp:positionV>
                      <wp:extent cx="8928100" cy="8255"/>
                      <wp:effectExtent l="635" t="635" r="635" b="635"/>
                      <wp:wrapNone/>
                      <wp:docPr id="27" name="Линия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8000" cy="828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0.75pt,0.75pt" to="703.7pt,1.35pt" ID="Линия 12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8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том числе: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Поставка компью-теров, оргтехники, программного обес-печения, обслужи-вание информацион-ных систем,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хостинг  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Интернет-портала, услуги по заправке картриджей, ремонту оргтехники, услуги связи, поставка картриджей, материалов и комплектующих, услуги по списанию,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утилизации оргтехники, оплата кредиторской задолженности за предыдущий год  и другое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начальник управления информати-зации и информа-ционной безопасности Н.Н.Сергиевская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13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01.01.2027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01.01.2028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01.01.2029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01.01.2030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01.01.2032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31.12.2027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31.12.2029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31.12.2030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31.12.2031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31.12.2032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5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1. закупка включена в план-график закупок.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2. сведения о муниципальном контракте внесены в реестр контрактов, заключен-ных заказчиками по результа-там закупок.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3. произведена приемка поставлен-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ных товаров, выполненных работ, оказанных услуг.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4. произведена оплата товаров, выполненных работ, оказанных услуг по муниципальному контракту.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акты выполнен-ных работ (услуг);</w:t>
            </w:r>
          </w:p>
          <w:p>
            <w:pPr>
              <w:pStyle w:val="113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товар-ные накладные;</w:t>
            </w:r>
          </w:p>
          <w:p>
            <w:pPr>
              <w:pStyle w:val="113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акты предоставления лицензионных прав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6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связь с целевыми показателями № 1,2,3,4,5,6,7 Программы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95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235585</wp:posOffset>
                      </wp:positionV>
                      <wp:extent cx="8927465" cy="17145"/>
                      <wp:effectExtent l="635" t="635" r="635" b="635"/>
                      <wp:wrapNone/>
                      <wp:docPr id="28" name="Линия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7640" cy="1728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8.55pt" to="1706.75pt,19.85pt" ID="Линия 6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444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1.2.</w:t>
            </w:r>
          </w:p>
        </w:tc>
        <w:tc>
          <w:tcPr>
            <w:tcW w:w="1335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Cs w:val="20"/>
              </w:rPr>
              <w:t>Мероприятие: Мероприятия по обеспечению защиты и безопасности информационных ресурсов</w:t>
            </w:r>
          </w:p>
        </w:tc>
      </w:tr>
      <w:tr>
        <w:trPr>
          <w:trHeight w:val="569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8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11430</wp:posOffset>
                      </wp:positionV>
                      <wp:extent cx="147320" cy="635"/>
                      <wp:effectExtent l="635" t="635" r="635" b="635"/>
                      <wp:wrapNone/>
                      <wp:docPr id="29" name="Горизонтальная линия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24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.8pt,0.9pt" to="13.35pt,0.9pt" ID="Горизонтальная линия 5" stroked="t" o:allowincell="t" style="position:absolute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9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10795</wp:posOffset>
                      </wp:positionV>
                      <wp:extent cx="8907780" cy="35560"/>
                      <wp:effectExtent l="635" t="635" r="635" b="635"/>
                      <wp:wrapNone/>
                      <wp:docPr id="30" name="Горизонтальная линия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7840" cy="3564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pt,0.85pt" to="703.35pt,3.6pt" ID="Горизонтальная линия 6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97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197485</wp:posOffset>
                      </wp:positionV>
                      <wp:extent cx="9005570" cy="9525"/>
                      <wp:effectExtent l="635" t="635" r="635" b="635"/>
                      <wp:wrapNone/>
                      <wp:docPr id="31" name="Линия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005400" cy="93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5.55pt" to="1712.9pt,16.25pt" ID="Линия 8" stroked="t" o:allowincell="t" style="position:absolute;flip: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28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 том числе: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Поставка техничес-ких и программных средств защиты информации, элек-тронных ключей, обеспечение сопро-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вождения средств защиты информации,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серверов, услуги по аттестации информационных систем персональных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данных, оплата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кредиторской задолженности за предыдущий год и другое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начальник управления информати-зации информацион-ной безопасности Н.Н.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Сергиевская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13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01.01.2027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01.01.2028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01.01.2029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01.01.2030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01.01.2032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31.12.2027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31.12.2029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31.12.2030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31.12.2031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31.12.2032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1. закупка включена в план-график закупок.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2. сведения о муници-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пальном контракте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6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внесены в реестр контрактов, заключен-ных заказчика-ми по результа-там закупок.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3. произведе-на приемка поставлен-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ных товаров, выполнен-ных работ, оказанных услуг.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4. произве-дена оплата товаров, выполнен-ных работ, оказанных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6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98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62865</wp:posOffset>
                      </wp:positionV>
                      <wp:extent cx="147320" cy="34290"/>
                      <wp:effectExtent l="635" t="635" r="635" b="635"/>
                      <wp:wrapNone/>
                      <wp:docPr id="32" name="Линия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7240" cy="3420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4.95pt" to="1015.4pt,7.6pt" ID="Линия 10" stroked="t" o:allowincell="t" style="position:absolute;flip:y">
                      <v:stroke color="#3465a4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color w:val="000000"/>
                <w:spacing w:val="0"/>
                <w:kern w:val="0"/>
                <w:szCs w:val="20"/>
              </w:rPr>
              <w:t>услуг по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муници-пальному контракту.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113"/>
              <w:numPr>
                <w:ilvl w:val="0"/>
                <w:numId w:val="3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акты выполнен-ных работ (услуг);</w:t>
            </w:r>
          </w:p>
          <w:p>
            <w:pPr>
              <w:pStyle w:val="113"/>
              <w:numPr>
                <w:ilvl w:val="0"/>
                <w:numId w:val="3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товар-ные накладные;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акты предоставле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7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ния лицензион-ных прав</w:t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26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связь с целевыми показателями № 8,9 Программы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96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191135</wp:posOffset>
                      </wp:positionV>
                      <wp:extent cx="8970645" cy="26035"/>
                      <wp:effectExtent l="635" t="635" r="635" b="635"/>
                      <wp:wrapNone/>
                      <wp:docPr id="33" name="Линия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0480" cy="259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5.05pt" to="1710.15pt,17.05pt" ID="Линия 7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3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203200</wp:posOffset>
                      </wp:positionV>
                      <wp:extent cx="8979535" cy="26035"/>
                      <wp:effectExtent l="635" t="635" r="635" b="635"/>
                      <wp:wrapNone/>
                      <wp:docPr id="34" name="Линия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79480" cy="259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6pt" to="1710.85pt,18pt" ID="Линия 13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04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210185</wp:posOffset>
                      </wp:positionV>
                      <wp:extent cx="8944610" cy="8890"/>
                      <wp:effectExtent l="635" t="635" r="635" b="635"/>
                      <wp:wrapNone/>
                      <wp:docPr id="35" name="Линия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44560" cy="900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6.55pt" to="1708.1pt,17.2pt" ID="Линия 14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635" distB="635" distL="635" distR="635" simplePos="0" locked="0" layoutInCell="1" allowOverlap="1" relativeHeight="110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186055</wp:posOffset>
                      </wp:positionV>
                      <wp:extent cx="8927465" cy="52070"/>
                      <wp:effectExtent l="635" t="635" r="635" b="635"/>
                      <wp:wrapNone/>
                      <wp:docPr id="36" name="Линия 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27640" cy="5220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03.85pt,14.65pt" to="1706.75pt,18.7pt" ID="Линия 17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ind w:firstLine="72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569" w:hRule="atLeast"/>
        </w:trPr>
        <w:tc>
          <w:tcPr>
            <w:tcW w:w="1420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3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Cs w:val="20"/>
              </w:rPr>
              <w:t>2. Проектная часть</w:t>
            </w:r>
            <w:r>
              <w:rPr>
                <w:color w:val="000000"/>
                <w:spacing w:val="0"/>
                <w:kern w:val="0"/>
                <w:szCs w:val="20"/>
                <w:vertAlign w:val="superscript"/>
              </w:rPr>
              <w:t xml:space="preserve"> 2</w:t>
            </w:r>
            <w:r>
              <w:rPr>
                <w:color w:val="000000"/>
                <w:spacing w:val="0"/>
                <w:kern w:val="0"/>
                <w:szCs w:val="20"/>
              </w:rPr>
              <w:t xml:space="preserve">   - отсутствует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Раздел указывается при наличии процессной части муниципальной программы, в случае отсутствия останется пустым.</w:t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Раздел указывается при наличии проектной части муниципальной программы, в случае отсутствия останется пустым.</w:t>
      </w:r>
    </w:p>
    <w:p>
      <w:pPr>
        <w:pStyle w:val="ConsPlusNormal1"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41"/>
        <w:rPr/>
      </w:pPr>
      <w:bookmarkStart w:id="12" w:name="sub_1700"/>
      <w:bookmarkEnd w:id="12"/>
      <w:r>
        <w:rPr/>
        <w:t>4.  Методика оценки эффективности реализации Программы</w:t>
      </w:r>
    </w:p>
    <w:p>
      <w:pPr>
        <w:pStyle w:val="ConsPlusNormal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212"/>
        <w:rPr/>
      </w:pPr>
      <w:r>
        <w:rPr/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Программы не реже чем один раз в год в соответствии с приложением №4 «Типовая методика оценки эффективности реализации муниципальной программы»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 Краснодарского края, утвержденного постановлением администрации муниципального образования Северский район Краснодарского края от 21 мая 2026 года №725 (далее- Порядок).</w:t>
      </w:r>
    </w:p>
    <w:p>
      <w:pPr>
        <w:pStyle w:val="41"/>
        <w:rPr/>
      </w:pPr>
      <w:r>
        <w:rPr/>
        <w:t>5. Механизм реализации муниципальной программы</w:t>
      </w:r>
    </w:p>
    <w:p>
      <w:pPr>
        <w:pStyle w:val="41"/>
        <w:rPr/>
      </w:pPr>
      <w:r>
        <w:rPr/>
      </w:r>
    </w:p>
    <w:p>
      <w:pPr>
        <w:pStyle w:val="212"/>
        <w:rPr/>
      </w:pPr>
      <w:r>
        <w:rPr/>
        <w:t>Механизм реализации Программы предполагает закупку товаров, работ, услуг для государственных нужд за счёт средств местного бюджета в соответствии с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212"/>
        <w:rPr/>
      </w:pPr>
      <w:r>
        <w:rPr/>
        <w:t>Реализация муниципальной программы проводится в соответствии с Порядком, в том числе:</w:t>
      </w:r>
    </w:p>
    <w:p>
      <w:pPr>
        <w:pStyle w:val="212"/>
        <w:rPr/>
      </w:pPr>
      <w:r>
        <w:rPr/>
        <w:t>Текущее управление муниципальной программой осуществляет Координатор (ответственный Исполнитель), который:</w:t>
      </w:r>
    </w:p>
    <w:p>
      <w:pPr>
        <w:pStyle w:val="212"/>
        <w:rPr/>
      </w:pPr>
      <w:r>
        <w:rPr/>
        <w:t>обеспечивает разработку Программы;</w:t>
      </w:r>
    </w:p>
    <w:p>
      <w:pPr>
        <w:pStyle w:val="212"/>
        <w:rPr/>
      </w:pPr>
      <w:r>
        <w:rPr/>
        <w:t>формирует структуру Программы;</w:t>
      </w:r>
    </w:p>
    <w:p>
      <w:pPr>
        <w:pStyle w:val="212"/>
        <w:rPr/>
      </w:pPr>
      <w:r>
        <w:rPr/>
        <w:t>организует реализацию Программы;</w:t>
      </w:r>
    </w:p>
    <w:p>
      <w:pPr>
        <w:pStyle w:val="212"/>
        <w:rPr/>
      </w:pPr>
      <w:r>
        <w:rPr/>
        <w:t>принимает решение о внесении в установленном порядке изменений в Программу;</w:t>
      </w:r>
    </w:p>
    <w:p>
      <w:pPr>
        <w:pStyle w:val="212"/>
        <w:rPr/>
      </w:pPr>
      <w:r>
        <w:rPr/>
        <w:t>несет ответственность за достижение целей, задач и целевых показателей Программы;</w:t>
      </w:r>
    </w:p>
    <w:p>
      <w:pPr>
        <w:pStyle w:val="212"/>
        <w:rPr/>
      </w:pPr>
      <w:r>
        <w:rPr/>
        <w:t>осуществляет подготовку предложений по объемам и источникам финансирования реализации Программы;</w:t>
      </w:r>
    </w:p>
    <w:p>
      <w:pPr>
        <w:pStyle w:val="212"/>
        <w:rPr/>
      </w:pPr>
      <w:r>
        <w:rPr/>
        <w:t>осуществляет мониторинг и анализ отчетности Программы;</w:t>
      </w:r>
    </w:p>
    <w:p>
      <w:pPr>
        <w:pStyle w:val="212"/>
        <w:rPr/>
      </w:pPr>
      <w:r>
        <w:rPr/>
        <w:t>ежегодно проводит оценку эффективности реализации Программы;</w:t>
      </w:r>
    </w:p>
    <w:p>
      <w:pPr>
        <w:pStyle w:val="212"/>
        <w:rPr/>
      </w:pPr>
      <w:r>
        <w:rPr/>
        <w:t>готовит ежегодный доклад о ходе реализации Программы и оценке эффективности её реализации (доклад о ходе реализации муниципальной программы);</w:t>
      </w:r>
    </w:p>
    <w:p>
      <w:pPr>
        <w:pStyle w:val="212"/>
        <w:rPr/>
      </w:pPr>
      <w:r>
        <w:rPr/>
        <w:t>организует информационную и разъяснительную работу, направленную на освещение целей, задач и хода реализации Программы в печатных средствах массовой информации (при необходимости), на официальном сайте в информационно-телекоммуникационной сети «Интернет» и иных информационных ресурсах;</w:t>
      </w:r>
    </w:p>
    <w:p>
      <w:pPr>
        <w:pStyle w:val="212"/>
        <w:rPr/>
      </w:pPr>
      <w:r>
        <w:rPr/>
        <w:t>размещает информацию о ходе реализации, достигнутых результатах и изменениях, внесенных в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>
      <w:pPr>
        <w:pStyle w:val="212"/>
        <w:rPr/>
      </w:pPr>
      <w:r>
        <w:rPr/>
        <w:t>осуществляет иные полномочия, установленные Порядком и Программой.</w:t>
      </w:r>
    </w:p>
    <w:p>
      <w:pPr>
        <w:pStyle w:val="212"/>
        <w:rPr/>
      </w:pPr>
      <w:r>
        <w:rPr/>
        <w:t>Координатор муниципальной программы, являющийся в рамках данной Программы и Исполнителем  мероприятий Программы в сфере установленных функций несет ответственность за эффективность реализации Программы и достижение целевых показателей Программы, а также за достоверность данных, представляемых в рамках мониторинга реализации Программы и ежегодного доклада о ходе реализации Программы и оценке эффективности ее реализации.</w:t>
      </w:r>
    </w:p>
    <w:p>
      <w:pPr>
        <w:pStyle w:val="212"/>
        <w:rPr/>
      </w:pPr>
      <w:r>
        <w:rPr/>
        <w:t>Контроль за ходом выполнения Программы осуществляют администрация и Совет муниципального образования Северский район.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3"/>
        <w:tblW w:w="1428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6"/>
        <w:gridCol w:w="7420"/>
      </w:tblGrid>
      <w:tr>
        <w:trPr/>
        <w:tc>
          <w:tcPr>
            <w:tcW w:w="6866" w:type="dxa"/>
            <w:tcBorders/>
            <w:vAlign w:val="bottom"/>
          </w:tcPr>
          <w:p>
            <w:pPr>
              <w:pStyle w:val="122"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Начальник управления информатизации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 информационной безопасности</w:t>
            </w:r>
          </w:p>
        </w:tc>
        <w:tc>
          <w:tcPr>
            <w:tcW w:w="7420" w:type="dxa"/>
            <w:tcBorders/>
            <w:vAlign w:val="bottom"/>
          </w:tcPr>
          <w:p>
            <w:pPr>
              <w:pStyle w:val="123"/>
              <w:suppressAutoHyphens w:val="true"/>
              <w:spacing w:lineRule="auto" w:line="240" w:before="0" w:after="0"/>
              <w:ind w:hanging="0" w:left="113" w:right="-57"/>
              <w:jc w:val="right"/>
              <w:rPr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Н.Н. Сергиевская</w:t>
            </w:r>
          </w:p>
        </w:tc>
      </w:tr>
    </w:tbl>
    <w:p>
      <w:pPr>
        <w:pStyle w:val="Normal"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headerReference w:type="even" r:id="rId11"/>
      <w:headerReference w:type="default" r:id="rId12"/>
      <w:headerReference w:type="first" r:id="rId13"/>
      <w:type w:val="nextPage"/>
      <w:pgSz w:orient="landscape" w:w="16838" w:h="11906"/>
      <w:pgMar w:left="1701" w:right="850" w:gutter="0" w:header="72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Times New Roman CYR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Trebuchet MS">
    <w:charset w:val="01"/>
    <w:family w:val="roman"/>
    <w:pitch w:val="default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 w:left="0" w:right="0"/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0" allowOverlap="1" relativeHeight="6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80670"/>
              <wp:effectExtent l="0" t="0" r="0" b="0"/>
              <wp:wrapSquare wrapText="bothSides"/>
              <wp:docPr id="37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80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t>1</w: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307.15pt;margin-top:0.05pt;width:99.95pt;height:22.05pt;mso-wrap-style:squar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jc w:val="cen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  <w:fldChar w:fldCharType="begin"/>
                    </w:r>
                    <w:r>
                      <w:rPr>
                        <w:spacing w:val="0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0"/>
                        <w:color w:val="000000"/>
                      </w:rPr>
                      <w:fldChar w:fldCharType="separate"/>
                    </w:r>
                    <w:r>
                      <w:rPr>
                        <w:spacing w:val="0"/>
                        <w:color w:val="000000"/>
                      </w:rPr>
                      <w:t>1</w:t>
                    </w:r>
                    <w:r>
                      <w:rPr>
                        <w:spacing w:val="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0" w:left="0" w:right="0"/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0" allowOverlap="1" relativeHeight="6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80670"/>
              <wp:effectExtent l="0" t="0" r="0" b="0"/>
              <wp:wrapSquare wrapText="bothSides"/>
              <wp:docPr id="38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80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t>1</w: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307.15pt;margin-top:0.05pt;width:99.95pt;height:22.05pt;mso-wrap-style:squar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jc w:val="cen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  <w:fldChar w:fldCharType="begin"/>
                    </w:r>
                    <w:r>
                      <w:rPr>
                        <w:spacing w:val="0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0"/>
                        <w:color w:val="000000"/>
                      </w:rPr>
                      <w:fldChar w:fldCharType="separate"/>
                    </w:r>
                    <w:r>
                      <w:rPr>
                        <w:spacing w:val="0"/>
                        <w:color w:val="000000"/>
                      </w:rPr>
                      <w:t>1</w:t>
                    </w:r>
                    <w:r>
                      <w:rPr>
                        <w:spacing w:val="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2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lvlText w:val="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lvlText w:val="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lvlText w:val="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lvlText w:val="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lvlText w:val="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9"/>
      <w:lvlJc w:val="left"/>
      <w:pPr>
        <w:tabs>
          <w:tab w:val="num" w:pos="0"/>
        </w:tabs>
        <w:ind w:left="1584" w:hanging="1584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both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numPr>
        <w:ilvl w:val="0"/>
        <w:numId w:val="4"/>
      </w:numPr>
      <w:spacing w:before="108" w:after="108"/>
      <w:ind w:hanging="0" w:left="0"/>
      <w:jc w:val="center"/>
      <w:outlineLvl w:val="0"/>
    </w:pPr>
    <w:rPr>
      <w:b/>
      <w:color w:val="26282F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1">
    <w:name w:val="Название1"/>
    <w:link w:val="111"/>
    <w:qFormat/>
    <w:rPr>
      <w:i/>
      <w:sz w:val="24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Style9">
    <w:name w:val="Цветовое выделение для Текст"/>
    <w:link w:val="19"/>
    <w:qFormat/>
    <w:rPr>
      <w:rFonts w:ascii="Times New Roman CYR" w:hAnsi="Times New Roman CYR"/>
      <w:sz w:val="24"/>
    </w:rPr>
  </w:style>
  <w:style w:type="character" w:styleId="WW8Num1z5">
    <w:name w:val="WW8Num1z5"/>
    <w:link w:val="WW8Num1z51"/>
    <w:qFormat/>
    <w:rPr/>
  </w:style>
  <w:style w:type="character" w:styleId="Header1">
    <w:name w:val="Header1"/>
    <w:qFormat/>
    <w:rPr/>
  </w:style>
  <w:style w:type="character" w:styleId="11">
    <w:name w:val="Основной шрифт абзаца1"/>
    <w:link w:val="112"/>
    <w:qFormat/>
    <w:rPr/>
  </w:style>
  <w:style w:type="character" w:styleId="12">
    <w:name w:val="Стиль1"/>
    <w:link w:val="113"/>
    <w:qFormat/>
    <w:rPr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IndexHeading1">
    <w:name w:val="Index Heading1"/>
    <w:qFormat/>
    <w:rPr>
      <w:rFonts w:ascii="PT Astra Serif" w:hAnsi="PT Astra Serif"/>
    </w:rPr>
  </w:style>
  <w:style w:type="character" w:styleId="13">
    <w:name w:val="Обычный1"/>
    <w:link w:val="114"/>
    <w:qFormat/>
    <w:rPr>
      <w:rFonts w:ascii="Arial" w:hAnsi="Arial"/>
      <w:color w:val="000000"/>
      <w:sz w:val="26"/>
    </w:rPr>
  </w:style>
  <w:style w:type="character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styleId="caption11111">
    <w:name w:val="caption11111"/>
    <w:link w:val="caption111112"/>
    <w:qFormat/>
    <w:rPr>
      <w:rFonts w:ascii="PT Astra Serif" w:hAnsi="PT Astra Serif"/>
      <w:i/>
      <w:sz w:val="24"/>
    </w:rPr>
  </w:style>
  <w:style w:type="character" w:styleId="caption111111111111">
    <w:name w:val="caption111111111111"/>
    <w:link w:val="caption1111111111112"/>
    <w:qFormat/>
    <w:rPr>
      <w:rFonts w:ascii="PT Astra Serif" w:hAnsi="PT Astra Serif"/>
      <w:i/>
      <w:sz w:val="24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sPlusNormal">
    <w:name w:val="ConsPlusNormal"/>
    <w:link w:val="ConsPlusNormal1"/>
    <w:qFormat/>
    <w:rPr>
      <w:rFonts w:ascii="Calibri" w:hAnsi="Calibri"/>
      <w:sz w:val="22"/>
    </w:rPr>
  </w:style>
  <w:style w:type="character" w:styleId="2">
    <w:name w:val="Основной шрифт абзаца2"/>
    <w:link w:val="211"/>
    <w:qFormat/>
    <w:rPr/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21">
    <w:name w:val="Стиль2"/>
    <w:link w:val="212"/>
    <w:qFormat/>
    <w:rPr>
      <w:sz w:val="28"/>
    </w:rPr>
  </w:style>
  <w:style w:type="character" w:styleId="WW8Num1z0">
    <w:name w:val="WW8Num1z0"/>
    <w:link w:val="WW8Num1z01"/>
    <w:qFormat/>
    <w:rPr/>
  </w:style>
  <w:style w:type="character" w:styleId="WW8Num1z7">
    <w:name w:val="WW8Num1z7"/>
    <w:link w:val="WW8Num1z71"/>
    <w:qFormat/>
    <w:rPr/>
  </w:style>
  <w:style w:type="character" w:styleId="caption1111111111111">
    <w:name w:val="caption1111111111111"/>
    <w:link w:val="caption11111111111111"/>
    <w:qFormat/>
    <w:rPr>
      <w:rFonts w:ascii="PT Astra Serif" w:hAnsi="PT Astra Serif"/>
      <w:i/>
      <w:sz w:val="24"/>
    </w:rPr>
  </w:style>
  <w:style w:type="character" w:styleId="Style10">
    <w:name w:val="Верхний колонтитул Знак"/>
    <w:link w:val="110"/>
    <w:qFormat/>
    <w:rPr>
      <w:rFonts w:ascii="Arial" w:hAnsi="Arial"/>
      <w:sz w:val="26"/>
    </w:rPr>
  </w:style>
  <w:style w:type="character" w:styleId="WW8Num2z0">
    <w:name w:val="WW8Num2z0"/>
    <w:link w:val="WW8Num2z01"/>
    <w:qFormat/>
    <w:rPr/>
  </w:style>
  <w:style w:type="character" w:styleId="Style11">
    <w:name w:val="Комментарий"/>
    <w:basedOn w:val="Style19"/>
    <w:link w:val="1113"/>
    <w:qFormat/>
    <w:rPr>
      <w:color w:val="353842"/>
      <w:shd w:fill="F0F0F0" w:val="clear"/>
    </w:rPr>
  </w:style>
  <w:style w:type="character" w:styleId="Style12">
    <w:name w:val="Гипертекстовая ссылка"/>
    <w:link w:val="116"/>
    <w:qFormat/>
    <w:rPr>
      <w:b/>
      <w:color w:val="106BBE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14">
    <w:name w:val="Заголовок1"/>
    <w:basedOn w:val="13"/>
    <w:link w:val="117"/>
    <w:qFormat/>
    <w:rPr>
      <w:rFonts w:ascii="Arial" w:hAnsi="Arial"/>
      <w:color w:val="000000"/>
      <w:sz w:val="28"/>
    </w:rPr>
  </w:style>
  <w:style w:type="character" w:styleId="Style13">
    <w:name w:val="Цветовое выделение"/>
    <w:link w:val="118"/>
    <w:qFormat/>
    <w:rPr>
      <w:b/>
      <w:color w:val="26282F"/>
    </w:rPr>
  </w:style>
  <w:style w:type="character" w:styleId="15">
    <w:name w:val="Указатель1"/>
    <w:link w:val="119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Textbody">
    <w:name w:val="Text body"/>
    <w:qFormat/>
    <w:rPr/>
  </w:style>
  <w:style w:type="character" w:styleId="caption111111">
    <w:name w:val="caption111111"/>
    <w:link w:val="caption1111112"/>
    <w:qFormat/>
    <w:rPr>
      <w:rFonts w:ascii="PT Astra Serif" w:hAnsi="PT Astra Serif"/>
      <w:i/>
      <w:sz w:val="24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ListParagraph">
    <w:name w:val="List Paragraph"/>
    <w:link w:val="ListParagraph1"/>
    <w:qFormat/>
    <w:rPr/>
  </w:style>
  <w:style w:type="character" w:styleId="user">
    <w:name w:val="Символ нумерации (user)"/>
    <w:qFormat/>
    <w:rPr/>
  </w:style>
  <w:style w:type="character" w:styleId="Heading11">
    <w:name w:val="Heading 11"/>
    <w:qFormat/>
    <w:rPr>
      <w:b/>
      <w:color w:val="26282F"/>
    </w:rPr>
  </w:style>
  <w:style w:type="character" w:styleId="Footer1">
    <w:name w:val="Footer1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WW8Num1z4">
    <w:name w:val="WW8Num1z4"/>
    <w:link w:val="WW8Num1z41"/>
    <w:qFormat/>
    <w:rPr/>
  </w:style>
  <w:style w:type="character" w:styleId="HeaderandFooter">
    <w:name w:val="Header and Footer"/>
    <w:qFormat/>
    <w:rPr/>
  </w:style>
  <w:style w:type="character" w:styleId="WW8Num1z3">
    <w:name w:val="WW8Num1z3"/>
    <w:link w:val="WW8Num1z31"/>
    <w:qFormat/>
    <w:rPr/>
  </w:style>
  <w:style w:type="character" w:styleId="16">
    <w:name w:val="Номер строки1"/>
    <w:basedOn w:val="2"/>
    <w:link w:val="1110"/>
    <w:qFormat/>
    <w:rPr/>
  </w:style>
  <w:style w:type="character" w:styleId="3">
    <w:name w:val="Стиль3"/>
    <w:link w:val="31"/>
    <w:qFormat/>
    <w:rPr>
      <w:b/>
      <w:sz w:val="28"/>
    </w:rPr>
  </w:style>
  <w:style w:type="character" w:styleId="caption11">
    <w:name w:val="caption11"/>
    <w:link w:val="caption12"/>
    <w:qFormat/>
    <w:rPr>
      <w:rFonts w:ascii="PT Astra Serif" w:hAnsi="PT Astra Serif"/>
      <w:i/>
      <w:sz w:val="24"/>
    </w:rPr>
  </w:style>
  <w:style w:type="character" w:styleId="Style14">
    <w:name w:val="Содержимое врезки"/>
    <w:link w:val="1114"/>
    <w:qFormat/>
    <w:rPr/>
  </w:style>
  <w:style w:type="character" w:styleId="caption111">
    <w:name w:val="caption111"/>
    <w:link w:val="caption1112"/>
    <w:qFormat/>
    <w:rPr>
      <w:rFonts w:ascii="PT Astra Serif" w:hAnsi="PT Astra Serif"/>
      <w:i/>
      <w:sz w:val="24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17">
    <w:name w:val="Заголовок 1 Знак"/>
    <w:link w:val="1111"/>
    <w:qFormat/>
    <w:rPr>
      <w:rFonts w:ascii="Arial" w:hAnsi="Arial"/>
      <w:b/>
      <w:color w:val="26282F"/>
      <w:sz w:val="26"/>
    </w:rPr>
  </w:style>
  <w:style w:type="character" w:styleId="caption11111111">
    <w:name w:val="caption11111111"/>
    <w:link w:val="caption111111112"/>
    <w:qFormat/>
    <w:rPr>
      <w:rFonts w:ascii="PT Astra Serif" w:hAnsi="PT Astra Serif"/>
      <w:i/>
      <w:sz w:val="24"/>
    </w:rPr>
  </w:style>
  <w:style w:type="character" w:styleId="caption1111">
    <w:name w:val="caption1111"/>
    <w:link w:val="caption11112"/>
    <w:qFormat/>
    <w:rPr>
      <w:rFonts w:ascii="PT Astra Serif" w:hAnsi="PT Astra Serif"/>
      <w:i/>
      <w:sz w:val="24"/>
    </w:rPr>
  </w:style>
  <w:style w:type="character" w:styleId="WW8Num1z2">
    <w:name w:val="WW8Num1z2"/>
    <w:link w:val="WW8Num1z21"/>
    <w:qFormat/>
    <w:rPr/>
  </w:style>
  <w:style w:type="character" w:styleId="caption11111111111">
    <w:name w:val="caption11111111111"/>
    <w:link w:val="caption111111111112"/>
    <w:qFormat/>
    <w:rPr>
      <w:rFonts w:ascii="PT Astra Serif" w:hAnsi="PT Astra Serif"/>
      <w:i/>
      <w:sz w:val="24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WW8Num1z8">
    <w:name w:val="WW8Num1z8"/>
    <w:link w:val="WW8Num1z81"/>
    <w:qFormat/>
    <w:rPr/>
  </w:style>
  <w:style w:type="character" w:styleId="4">
    <w:name w:val="Стиль4"/>
    <w:link w:val="41"/>
    <w:qFormat/>
    <w:rPr>
      <w:b/>
      <w:sz w:val="28"/>
    </w:rPr>
  </w:style>
  <w:style w:type="character" w:styleId="18">
    <w:name w:val="Гиперссылка1"/>
    <w:link w:val="1112"/>
    <w:qFormat/>
    <w:rPr>
      <w:color w:val="000080"/>
      <w:u w:val="single"/>
    </w:rPr>
  </w:style>
  <w:style w:type="character" w:styleId="Style15">
    <w:name w:val="Прижатый влево"/>
    <w:link w:val="122"/>
    <w:qFormat/>
    <w:rPr/>
  </w:style>
  <w:style w:type="character" w:styleId="caption1111111">
    <w:name w:val="caption1111111"/>
    <w:link w:val="caption11111112"/>
    <w:qFormat/>
    <w:rPr>
      <w:rFonts w:ascii="PT Astra Serif" w:hAnsi="PT Astra Serif"/>
      <w:i/>
      <w:sz w:val="24"/>
    </w:rPr>
  </w:style>
  <w:style w:type="character" w:styleId="WW8Num1z1">
    <w:name w:val="WW8Num1z1"/>
    <w:link w:val="WW8Num1z11"/>
    <w:qFormat/>
    <w:rPr/>
  </w:style>
  <w:style w:type="character" w:styleId="Style16">
    <w:name w:val="Нормальный (таблица)"/>
    <w:link w:val="123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tyle17">
    <w:name w:val="Нижний колонтитул Знак"/>
    <w:link w:val="124"/>
    <w:qFormat/>
    <w:rPr>
      <w:rFonts w:ascii="Arial" w:hAnsi="Arial"/>
      <w:sz w:val="26"/>
    </w:rPr>
  </w:style>
  <w:style w:type="character" w:styleId="Style18">
    <w:name w:val="Заголовок таблицы"/>
    <w:basedOn w:val="Style21"/>
    <w:link w:val="1116"/>
    <w:qFormat/>
    <w:rPr>
      <w:b/>
    </w:rPr>
  </w:style>
  <w:style w:type="character" w:styleId="WW8Num1z6">
    <w:name w:val="WW8Num1z6"/>
    <w:link w:val="WW8Num1z61"/>
    <w:qFormat/>
    <w:rPr/>
  </w:style>
  <w:style w:type="character" w:styleId="caption1111111111">
    <w:name w:val="caption1111111111"/>
    <w:link w:val="caption11111111112"/>
    <w:qFormat/>
    <w:rPr>
      <w:rFonts w:ascii="PT Astra Serif" w:hAnsi="PT Astra Serif"/>
      <w:i/>
      <w:sz w:val="24"/>
    </w:rPr>
  </w:style>
  <w:style w:type="character" w:styleId="Style19">
    <w:name w:val="Текст (справка)"/>
    <w:link w:val="127"/>
    <w:qFormat/>
    <w:rPr/>
  </w:style>
  <w:style w:type="character" w:styleId="Style20">
    <w:name w:val="Текст выноски Знак"/>
    <w:link w:val="128"/>
    <w:qFormat/>
    <w:rPr>
      <w:rFonts w:ascii="Tahoma" w:hAnsi="Tahoma"/>
      <w:sz w:val="16"/>
    </w:rPr>
  </w:style>
  <w:style w:type="character" w:styleId="Style21">
    <w:name w:val="Содержимое таблицы"/>
    <w:link w:val="1115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List1">
    <w:name w:val="List1"/>
    <w:basedOn w:val="Textbody"/>
    <w:qFormat/>
    <w:rPr/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caption111111111">
    <w:name w:val="caption111111111"/>
    <w:link w:val="caption1111111112"/>
    <w:qFormat/>
    <w:rPr>
      <w:rFonts w:ascii="PT Astra Serif" w:hAnsi="PT Astra Serif"/>
      <w:i/>
      <w:sz w:val="24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caption112">
    <w:name w:val="caption112"/>
    <w:link w:val="caption113"/>
    <w:qFormat/>
    <w:rPr>
      <w:rFonts w:ascii="PT Astra Serif" w:hAnsi="PT Astra Serif"/>
      <w:i/>
      <w:sz w:val="24"/>
    </w:rPr>
  </w:style>
  <w:style w:type="character" w:styleId="Style22">
    <w:name w:val="Символ нумерации"/>
    <w:qFormat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11">
    <w:name w:val="Название11"/>
    <w:basedOn w:val="Normal"/>
    <w:link w:val="1"/>
    <w:qFormat/>
    <w:pPr>
      <w:spacing w:before="120" w:after="120"/>
    </w:pPr>
    <w:rPr>
      <w:i/>
      <w:sz w:val="24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9">
    <w:name w:val="Цветовое выделение для Текст1"/>
    <w:link w:val="Style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 CYR" w:hAnsi="Times New Roman CYR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z51">
    <w:name w:val="WW8Num1z51"/>
    <w:link w:val="WW8Num1z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5">
    <w:name w:val="Колонтитулы"/>
    <w:basedOn w:val="Normal"/>
    <w:qFormat/>
    <w:pPr/>
    <w:rPr/>
  </w:style>
  <w:style w:type="paragraph" w:styleId="HeaderandFooter1">
    <w:name w:val="Header and Footer1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2">
    <w:name w:val="Основной шрифт абзаца11"/>
    <w:link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3">
    <w:name w:val="Стиль11"/>
    <w:link w:val="12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both"/>
    </w:pPr>
    <w:rPr>
      <w:rFonts w:ascii="Times New Roman" w:hAnsi="Times New Roman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">
    <w:name w:val="index heading"/>
    <w:basedOn w:val="Normal"/>
    <w:pPr/>
    <w:rPr>
      <w:rFonts w:ascii="PT Astra Serif" w:hAnsi="PT Astra Serif"/>
    </w:rPr>
  </w:style>
  <w:style w:type="paragraph" w:styleId="114">
    <w:name w:val="Обычный11"/>
    <w:link w:val="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111112">
    <w:name w:val="caption111112"/>
    <w:basedOn w:val="Normal"/>
    <w:link w:val="caption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caption1111111111112">
    <w:name w:val="caption1111111111112"/>
    <w:basedOn w:val="Normal"/>
    <w:link w:val="caption1111111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Label6">
    <w:name w:val="ListLabel 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106BBE"/>
      <w:spacing w:val="0"/>
      <w:kern w:val="0"/>
      <w:sz w:val="20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">
    <w:name w:val="Основной шрифт абзаца21"/>
    <w:link w:val="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2">
    <w:name w:val="Стиль21"/>
    <w:link w:val="21"/>
    <w:qFormat/>
    <w:pPr>
      <w:widowControl w:val="false"/>
      <w:suppressAutoHyphens w:val="true"/>
      <w:bidi w:val="0"/>
      <w:spacing w:lineRule="auto" w:line="240" w:before="0" w:after="0"/>
      <w:ind w:firstLine="709" w:left="0" w:right="0"/>
      <w:jc w:val="both"/>
    </w:pPr>
    <w:rPr>
      <w:rFonts w:ascii="Times New Roman" w:hAnsi="Times New Roman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01">
    <w:name w:val="WW8Num1z01"/>
    <w:link w:val="WW8Num1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ListLabel15">
    <w:name w:val="ListLabel 1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106BBE"/>
      <w:spacing w:val="0"/>
      <w:kern w:val="0"/>
      <w:sz w:val="23"/>
      <w:szCs w:val="20"/>
      <w:lang w:val="ru-RU" w:eastAsia="zh-CN" w:bidi="hi-IN"/>
    </w:rPr>
  </w:style>
  <w:style w:type="paragraph" w:styleId="WW8Num1z71">
    <w:name w:val="WW8Num1z71"/>
    <w:link w:val="WW8Num1z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1111111111111">
    <w:name w:val="caption11111111111111"/>
    <w:basedOn w:val="Normal"/>
    <w:link w:val="caption11111111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10">
    <w:name w:val="Верхний колонтитул Знак1"/>
    <w:link w:val="Style1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WW8Num2z01">
    <w:name w:val="WW8Num2z01"/>
    <w:link w:val="WW8Num2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5">
    <w:name w:val="Комментарий1"/>
    <w:basedOn w:val="127"/>
    <w:next w:val="Normal"/>
    <w:qFormat/>
    <w:pPr>
      <w:spacing w:before="75" w:after="0"/>
      <w:ind w:right="0"/>
      <w:jc w:val="both"/>
    </w:pPr>
    <w:rPr>
      <w:color w:val="353842"/>
      <w:shd w:fill="F0F0F0" w:val="clear"/>
    </w:rPr>
  </w:style>
  <w:style w:type="paragraph" w:styleId="116">
    <w:name w:val="Гипертекстовая ссылка1"/>
    <w:link w:val="Style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106BBE"/>
      <w:spacing w:val="0"/>
      <w:kern w:val="0"/>
      <w:sz w:val="20"/>
      <w:szCs w:val="20"/>
      <w:lang w:val="ru-RU" w:eastAsia="zh-CN" w:bidi="hi-IN"/>
    </w:rPr>
  </w:style>
  <w:style w:type="paragraph" w:styleId="ListLabel2">
    <w:name w:val="ListLabel 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7">
    <w:name w:val="Заголовок11"/>
    <w:basedOn w:val="114"/>
    <w:link w:val="14"/>
    <w:qFormat/>
    <w:pPr/>
    <w:rPr>
      <w:rFonts w:ascii="Arial" w:hAnsi="Arial"/>
      <w:color w:val="000000"/>
      <w:sz w:val="28"/>
    </w:rPr>
  </w:style>
  <w:style w:type="paragraph" w:styleId="118">
    <w:name w:val="Цветовое выделение1"/>
    <w:link w:val="Style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26282F"/>
      <w:spacing w:val="0"/>
      <w:kern w:val="0"/>
      <w:sz w:val="20"/>
      <w:szCs w:val="20"/>
      <w:lang w:val="ru-RU" w:eastAsia="zh-CN" w:bidi="hi-IN"/>
    </w:rPr>
  </w:style>
  <w:style w:type="paragraph" w:styleId="119">
    <w:name w:val="Указатель11"/>
    <w:basedOn w:val="Normal"/>
    <w:link w:val="15"/>
    <w:qFormat/>
    <w:pPr/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111112">
    <w:name w:val="caption1111112"/>
    <w:basedOn w:val="Normal"/>
    <w:link w:val="caption1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ListParagraph1">
    <w:name w:val="List Paragraph1"/>
    <w:basedOn w:val="Normal"/>
    <w:link w:val="ListParagraph"/>
    <w:qFormat/>
    <w:pPr>
      <w:widowControl/>
      <w:spacing w:before="0" w:after="160"/>
      <w:ind w:hanging="0" w:left="720"/>
      <w:contextualSpacing/>
    </w:pPr>
    <w:rPr/>
  </w:style>
  <w:style w:type="paragraph" w:styleId="120">
    <w:name w:val="Символ нумерации1"/>
    <w:link w:val="Style2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41">
    <w:name w:val="WW8Num1z41"/>
    <w:link w:val="WW8Num1z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31">
    <w:name w:val="WW8Num1z31"/>
    <w:link w:val="WW8Num1z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0">
    <w:name w:val="Номер строки11"/>
    <w:basedOn w:val="211"/>
    <w:link w:val="16"/>
    <w:qFormat/>
    <w:pPr/>
    <w:rPr/>
  </w:style>
  <w:style w:type="paragraph" w:styleId="31">
    <w:name w:val="Стиль31"/>
    <w:link w:val="3"/>
    <w:qFormat/>
    <w:pPr>
      <w:widowControl w:val="false"/>
      <w:suppressAutoHyphens w:val="true"/>
      <w:bidi w:val="0"/>
      <w:spacing w:lineRule="auto" w:line="240" w:before="0" w:after="0"/>
      <w:ind w:firstLine="709" w:left="0" w:right="0"/>
      <w:jc w:val="center"/>
    </w:pPr>
    <w:rPr>
      <w:rFonts w:ascii="Times New Roman" w:hAnsi="Times New Roman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2">
    <w:name w:val="caption12"/>
    <w:basedOn w:val="Normal"/>
    <w:link w:val="caption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21">
    <w:name w:val="Содержимое врезки1"/>
    <w:basedOn w:val="Normal"/>
    <w:qFormat/>
    <w:pPr/>
    <w:rPr/>
  </w:style>
  <w:style w:type="paragraph" w:styleId="caption1112">
    <w:name w:val="caption1112"/>
    <w:basedOn w:val="Normal"/>
    <w:link w:val="caption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">
    <w:name w:val="Заголовок 1 Знак1"/>
    <w:link w:val="1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b/>
      <w:color w:val="26282F"/>
      <w:spacing w:val="0"/>
      <w:kern w:val="0"/>
      <w:sz w:val="26"/>
      <w:szCs w:val="20"/>
      <w:lang w:val="ru-RU" w:eastAsia="zh-CN" w:bidi="hi-IN"/>
    </w:rPr>
  </w:style>
  <w:style w:type="paragraph" w:styleId="caption111111112">
    <w:name w:val="caption111111112"/>
    <w:basedOn w:val="Normal"/>
    <w:link w:val="caption111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ListLabel12">
    <w:name w:val="ListLabel 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106BBE"/>
      <w:spacing w:val="0"/>
      <w:kern w:val="0"/>
      <w:sz w:val="20"/>
      <w:szCs w:val="20"/>
      <w:lang w:val="ru-RU" w:eastAsia="zh-CN" w:bidi="hi-IN"/>
    </w:rPr>
  </w:style>
  <w:style w:type="paragraph" w:styleId="caption11112">
    <w:name w:val="caption11112"/>
    <w:basedOn w:val="Normal"/>
    <w:link w:val="caption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WW8Num1z21">
    <w:name w:val="WW8Num1z21"/>
    <w:link w:val="WW8Num1z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11111111112">
    <w:name w:val="caption111111111112"/>
    <w:basedOn w:val="Normal"/>
    <w:link w:val="caption111111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81">
    <w:name w:val="WW8Num1z81"/>
    <w:link w:val="WW8Num1z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Стиль41"/>
    <w:link w:val="4"/>
    <w:qFormat/>
    <w:pPr>
      <w:widowControl w:val="false"/>
      <w:suppressAutoHyphens w:val="true"/>
      <w:bidi w:val="0"/>
      <w:spacing w:lineRule="auto" w:line="240" w:before="0" w:after="0"/>
      <w:ind w:firstLine="709" w:left="0" w:right="0"/>
      <w:jc w:val="center"/>
    </w:pPr>
    <w:rPr>
      <w:rFonts w:ascii="Times New Roman" w:hAnsi="Times New Roman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2">
    <w:name w:val="Гиперссылка11"/>
    <w:link w:val="1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80"/>
      <w:spacing w:val="0"/>
      <w:kern w:val="0"/>
      <w:sz w:val="20"/>
      <w:szCs w:val="20"/>
      <w:u w:val="single"/>
      <w:lang w:val="ru-RU" w:eastAsia="zh-CN" w:bidi="hi-IN"/>
    </w:rPr>
  </w:style>
  <w:style w:type="paragraph" w:styleId="122">
    <w:name w:val="Прижатый влево1"/>
    <w:basedOn w:val="Normal"/>
    <w:next w:val="Normal"/>
    <w:link w:val="Style15"/>
    <w:qFormat/>
    <w:pPr>
      <w:ind w:hanging="0" w:left="0"/>
      <w:jc w:val="left"/>
    </w:pPr>
    <w:rPr/>
  </w:style>
  <w:style w:type="paragraph" w:styleId="caption11111112">
    <w:name w:val="caption11111112"/>
    <w:basedOn w:val="Normal"/>
    <w:link w:val="caption11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WW8Num1z11">
    <w:name w:val="WW8Num1z11"/>
    <w:link w:val="WW8Num1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23">
    <w:name w:val="Нормальный (таблица)1"/>
    <w:basedOn w:val="Normal"/>
    <w:next w:val="Normal"/>
    <w:link w:val="Style16"/>
    <w:qFormat/>
    <w:pPr>
      <w:ind w:hanging="0" w:left="0"/>
    </w:pPr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4">
    <w:name w:val="Нижний колонтитул Знак1"/>
    <w:link w:val="Style1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125">
    <w:name w:val="Содержимое таблицы1"/>
    <w:basedOn w:val="Normal"/>
    <w:qFormat/>
    <w:pPr/>
    <w:rPr/>
  </w:style>
  <w:style w:type="paragraph" w:styleId="126">
    <w:name w:val="Заголовок таблицы1"/>
    <w:basedOn w:val="125"/>
    <w:qFormat/>
    <w:pPr>
      <w:jc w:val="center"/>
    </w:pPr>
    <w:rPr>
      <w:b/>
    </w:rPr>
  </w:style>
  <w:style w:type="paragraph" w:styleId="WW8Num1z61">
    <w:name w:val="WW8Num1z61"/>
    <w:link w:val="WW8Num1z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1111111112">
    <w:name w:val="caption11111111112"/>
    <w:basedOn w:val="Normal"/>
    <w:link w:val="caption11111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27">
    <w:name w:val="Текст (справка)1"/>
    <w:basedOn w:val="Normal"/>
    <w:next w:val="Normal"/>
    <w:link w:val="Style19"/>
    <w:qFormat/>
    <w:pPr>
      <w:ind w:hanging="0" w:left="170" w:right="170"/>
      <w:jc w:val="left"/>
    </w:pPr>
    <w:rPr/>
  </w:style>
  <w:style w:type="paragraph" w:styleId="128">
    <w:name w:val="Текст выноски Знак1"/>
    <w:link w:val="Style2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color w:val="000000"/>
      <w:spacing w:val="0"/>
      <w:kern w:val="0"/>
      <w:sz w:val="16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BodyText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aption1111111112">
    <w:name w:val="caption1111111112"/>
    <w:basedOn w:val="Normal"/>
    <w:link w:val="caption11111111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caption113">
    <w:name w:val="caption113"/>
    <w:basedOn w:val="Normal"/>
    <w:link w:val="caption112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113">
    <w:name w:val="Комментарий11"/>
    <w:basedOn w:val="Normal"/>
    <w:qFormat/>
    <w:pPr/>
    <w:rPr/>
  </w:style>
  <w:style w:type="paragraph" w:styleId="1114">
    <w:name w:val="Содержимое врезки11"/>
    <w:basedOn w:val="Normal"/>
    <w:qFormat/>
    <w:pPr/>
    <w:rPr/>
  </w:style>
  <w:style w:type="paragraph" w:styleId="1115">
    <w:name w:val="Содержимое таблицы11"/>
    <w:basedOn w:val="Normal"/>
    <w:qFormat/>
    <w:pPr/>
    <w:rPr/>
  </w:style>
  <w:style w:type="paragraph" w:styleId="1116">
    <w:name w:val="Заголовок таблицы11"/>
    <w:basedOn w:val="1115"/>
    <w:qFormat/>
    <w:pPr/>
    <w:rPr/>
  </w:style>
  <w:style w:type="paragraph" w:styleId="22">
    <w:name w:val="Содержимое врезки2"/>
    <w:basedOn w:val="Normal"/>
    <w:qFormat/>
    <w:pPr/>
    <w:rPr/>
  </w:style>
  <w:style w:type="paragraph" w:styleId="32">
    <w:name w:val="Содержимое врезки3"/>
    <w:basedOn w:val="Normal"/>
    <w:qFormat/>
    <w:pPr/>
    <w:rPr/>
  </w:style>
  <w:style w:type="paragraph" w:styleId="42">
    <w:name w:val="Содержимое врезки4"/>
    <w:basedOn w:val="Normal"/>
    <w:qFormat/>
    <w:pPr/>
    <w:rPr/>
  </w:style>
  <w:style w:type="paragraph" w:styleId="5">
    <w:name w:val="Содержимое врезки5"/>
    <w:basedOn w:val="Normal"/>
    <w:qFormat/>
    <w:pPr/>
    <w:rPr/>
  </w:style>
  <w:style w:type="paragraph" w:styleId="6">
    <w:name w:val="Содержимое врезки6"/>
    <w:basedOn w:val="Normal"/>
    <w:qFormat/>
    <w:pPr/>
    <w:rPr/>
  </w:style>
  <w:style w:type="paragraph" w:styleId="7">
    <w:name w:val="Содержимое врезки7"/>
    <w:basedOn w:val="Normal"/>
    <w:qFormat/>
    <w:pPr/>
    <w:rPr/>
  </w:style>
  <w:style w:type="paragraph" w:styleId="8">
    <w:name w:val="Содержимое врезки8"/>
    <w:basedOn w:val="Normal"/>
    <w:qFormat/>
    <w:pPr/>
    <w:rPr/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vo.garant.ru/document?id=23800500&amp;sub=883" TargetMode="External"/><Relationship Id="rId3" Type="http://schemas.openxmlformats.org/officeDocument/2006/relationships/hyperlink" Target="https://internet.garant.ru/document/redirect/408992634/0" TargetMode="External"/><Relationship Id="rId4" Type="http://schemas.openxmlformats.org/officeDocument/2006/relationships/hyperlink" Target="https://internet.garant.ru/document/redirect/43693362/0" TargetMode="External"/><Relationship Id="rId5" Type="http://schemas.openxmlformats.org/officeDocument/2006/relationships/hyperlink" Target="https://sevadm.ru/epg/" TargetMode="External"/><Relationship Id="rId6" Type="http://schemas.openxmlformats.org/officeDocument/2006/relationships/hyperlink" Target="https://internet.garant.ru/document/redirect/408992634/0" TargetMode="External"/><Relationship Id="rId7" Type="http://schemas.openxmlformats.org/officeDocument/2006/relationships/hyperlink" Target="https://internet.garant.ru/document/redirect/408992634/0" TargetMode="External"/><Relationship Id="rId8" Type="http://schemas.openxmlformats.org/officeDocument/2006/relationships/hyperlink" Target="https://internet.garant.ru/document/redirect/408992634/0" TargetMode="External"/><Relationship Id="rId9" Type="http://schemas.openxmlformats.org/officeDocument/2006/relationships/hyperlink" Target="https://internet.garant.ru/document/redirect/408992634/0" TargetMode="External"/><Relationship Id="rId10" Type="http://schemas.openxmlformats.org/officeDocument/2006/relationships/hyperlink" Target="https://internet.garant.ru/document/redirect/408992634/0" TargetMode="Externa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Application>LibreOffice/25.2.3.2$Linux_X86_64 LibreOffice_project/520$Build-2</Application>
  <AppVersion>15.0000</AppVersion>
  <Pages>33</Pages>
  <Words>5273</Words>
  <Characters>39128</Characters>
  <CharactersWithSpaces>43593</CharactersWithSpaces>
  <Paragraphs>864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2026-07-30T11:42:27Z</cp:lastPrinted>
  <dcterms:modified xsi:type="dcterms:W3CDTF">2026-07-31T12:47:37Z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